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5F155" w14:textId="72088BDE" w:rsidR="00940CF8" w:rsidRPr="00C46937" w:rsidRDefault="00940CF8" w:rsidP="000E6A02">
      <w:pPr>
        <w:ind w:right="-6"/>
        <w:rPr>
          <w:b/>
          <w:bCs/>
          <w:sz w:val="28"/>
          <w:szCs w:val="28"/>
          <w:lang w:val="en-US"/>
        </w:rPr>
      </w:pPr>
      <w:r w:rsidRPr="00C46937">
        <w:rPr>
          <w:b/>
          <w:sz w:val="28"/>
          <w:lang w:val="en-US"/>
        </w:rPr>
        <w:t xml:space="preserve">ATP test: Keeping data thieves and </w:t>
      </w:r>
      <w:r w:rsidR="003D3691" w:rsidRPr="003D3691">
        <w:rPr>
          <w:b/>
          <w:sz w:val="28"/>
        </w:rPr>
        <w:t>encryptors</w:t>
      </w:r>
      <w:r w:rsidR="003D3691">
        <w:rPr>
          <w:b/>
          <w:i/>
          <w:iCs/>
          <w:sz w:val="28"/>
        </w:rPr>
        <w:t xml:space="preserve"> </w:t>
      </w:r>
      <w:r w:rsidRPr="00C46937">
        <w:rPr>
          <w:b/>
          <w:sz w:val="28"/>
          <w:lang w:val="en-US"/>
        </w:rPr>
        <w:t>at bay</w:t>
      </w:r>
    </w:p>
    <w:p w14:paraId="7F49F14F" w14:textId="2BFCDA69" w:rsidR="00D53BFB" w:rsidRPr="00C46937" w:rsidRDefault="003E66FA" w:rsidP="000E6A02">
      <w:pPr>
        <w:ind w:right="-6"/>
        <w:rPr>
          <w:b/>
          <w:lang w:val="en-US"/>
        </w:rPr>
      </w:pPr>
      <w:r w:rsidRPr="00C46937">
        <w:rPr>
          <w:b/>
          <w:lang w:val="en-US"/>
        </w:rPr>
        <w:t>Attackers are constantly developing new tools and tactics in order to launch attacks on Windows systems. The actual attack generally takes place through ransomware or an infostealer. In our latest Advanced Threat Protection test – or ATP test, for short – the AV-TEST team checked whether security solutions for consumer users and corporate users are also prepared to defend against the most recent tactics used by cyberattackers. One type of attack is the deployment of malware in an executable file, disguised as a Python application. On the surface, they do not stand out because these types of data packages, generated by developers, can be found on the internet. However, many of the 20 security products tested are not deceived in the least. But still, some are.</w:t>
      </w:r>
    </w:p>
    <w:p w14:paraId="2AD19EC1" w14:textId="5E148785" w:rsidR="004C369E" w:rsidRPr="00C46937" w:rsidRDefault="0050220D" w:rsidP="000E6A02">
      <w:pPr>
        <w:ind w:right="-6"/>
        <w:rPr>
          <w:lang w:val="en-US"/>
        </w:rPr>
      </w:pPr>
      <w:r w:rsidRPr="00C46937">
        <w:rPr>
          <w:lang w:val="en-US"/>
        </w:rPr>
        <w:t>Cyberattackers are very creative when it comes to finding ways to earn money from their exploits. Vendors of security products need to keep pace with this level of creativity. After all, the integrity of their customers’ data and systems are at stake. Sometimes the attacks involve malware that has hardly been changed. The attackers just inject it into files that look harmless and are found everywhere on the internet.</w:t>
      </w:r>
    </w:p>
    <w:p w14:paraId="7A44E30A" w14:textId="4F2BAD7D" w:rsidR="00D53BFB" w:rsidRPr="00C46937" w:rsidRDefault="00733B4F" w:rsidP="000E6A02">
      <w:pPr>
        <w:ind w:right="-6"/>
        <w:rPr>
          <w:lang w:val="en-US"/>
        </w:rPr>
      </w:pPr>
      <w:r w:rsidRPr="00C46937">
        <w:rPr>
          <w:lang w:val="en-US"/>
        </w:rPr>
        <w:t xml:space="preserve">The strategy is straightforward. Where’s the best place to hide a tree: in the forest. And it is this principle that attackers also employ when they conceal malware as Python applications in executable files. Many developers use these types of files and distribute them online or on coding platforms for free, so the tactic does not stand out at all. </w:t>
      </w:r>
    </w:p>
    <w:p w14:paraId="5F055623" w14:textId="50B6691A" w:rsidR="00015F82" w:rsidRPr="00C46937" w:rsidRDefault="00015F82" w:rsidP="000E6A02">
      <w:pPr>
        <w:ind w:right="-6"/>
        <w:rPr>
          <w:b/>
          <w:bCs/>
          <w:sz w:val="26"/>
          <w:szCs w:val="26"/>
          <w:lang w:val="en-US"/>
        </w:rPr>
      </w:pPr>
      <w:r w:rsidRPr="00C46937">
        <w:rPr>
          <w:b/>
          <w:sz w:val="26"/>
          <w:lang w:val="en-US"/>
        </w:rPr>
        <w:t>20 security solutions in the ATP test</w:t>
      </w:r>
    </w:p>
    <w:p w14:paraId="50B36865" w14:textId="70657C01" w:rsidR="00ED537C" w:rsidRPr="00C46937" w:rsidRDefault="00ED537C" w:rsidP="000E6A02">
      <w:pPr>
        <w:ind w:right="-6"/>
        <w:rPr>
          <w:lang w:val="en-US"/>
        </w:rPr>
      </w:pPr>
      <w:r w:rsidRPr="00C46937">
        <w:rPr>
          <w:lang w:val="en-US"/>
        </w:rPr>
        <w:t>20 security products for consumer users and corporate users prove their mettle under Windows 10 in the latest Advanced Threat Protection (ATP) test after being subjected to 5 different attack scenarios using infostealers and ransomware. For the testing, the lab uses the same techniques to mask the attack that the cybercriminals have used in recent hacks. In some cases, files are disguised as Windows tools. In others, they use injection attacks or launch web coding that has been hidden. The attackers will naturally combine several of these tactics into a chain of attacks. One of the most recent methods was mentioned at the beginning of this article: infected Python applications. Here’s how it works:</w:t>
      </w:r>
    </w:p>
    <w:p w14:paraId="29D5FA26" w14:textId="796E5F5F" w:rsidR="00B82453" w:rsidRPr="00C46937" w:rsidRDefault="00015F82" w:rsidP="000E6A02">
      <w:pPr>
        <w:ind w:right="-6"/>
        <w:rPr>
          <w:lang w:val="en-US"/>
        </w:rPr>
      </w:pPr>
      <w:r w:rsidRPr="00C46937">
        <w:rPr>
          <w:b/>
          <w:lang w:val="en-US"/>
        </w:rPr>
        <w:t>PyInstaller executable bundling:</w:t>
      </w:r>
      <w:r w:rsidRPr="00C46937">
        <w:rPr>
          <w:lang w:val="en-US"/>
        </w:rPr>
        <w:t xml:space="preserve"> Attackers use PyInstaller as a means to bundle dangerous Python scripts together with a small Python runtime environment. The EXE file can be executed directly under Windows. Which means that the user does not need to have Python or any libraries installed, nor is it necessary to install anything for the launch. It acts as a particularly effective and sophisticated means of distributing malware elements, since the executable files that are created with PyInstaller are typically used by developers to distribute legitimate software. It enables the dangerous applications to pass unnoticed, because users and security tools will categorize them as something harmless.</w:t>
      </w:r>
    </w:p>
    <w:p w14:paraId="10EA405A" w14:textId="178F8C67" w:rsidR="00B82453" w:rsidRPr="00C46937" w:rsidRDefault="00B82453" w:rsidP="000E6A02">
      <w:pPr>
        <w:ind w:right="-6"/>
        <w:rPr>
          <w:lang w:val="en-US"/>
        </w:rPr>
      </w:pPr>
      <w:r w:rsidRPr="00C46937">
        <w:rPr>
          <w:lang w:val="en-US"/>
        </w:rPr>
        <w:t>In our examples, we use PyInstaller to bundle the Python applications into packages, which then load the dangerous shellcode or a manipulated DDL file later on. The final file is executed on the target system in our test, where it launches the embedded Python interpreter and injects our malware code. In this manner, we can simulate the behavior of ransomware attacks and infostealers.</w:t>
      </w:r>
    </w:p>
    <w:p w14:paraId="05B3672F" w14:textId="4D05B640" w:rsidR="00B82453" w:rsidRPr="00C46937" w:rsidRDefault="00D43E1A" w:rsidP="000E6A02">
      <w:pPr>
        <w:ind w:right="-6"/>
        <w:rPr>
          <w:lang w:val="en-US"/>
        </w:rPr>
      </w:pPr>
      <w:r w:rsidRPr="00C46937">
        <w:rPr>
          <w:lang w:val="en-US"/>
        </w:rPr>
        <w:t>In the current evaluation, 11 products for consumer users from the following vendors were put to the test: Avast, AVG, Avira, Bitdefender, ESET, K7 Computing, Kaspersky, McAfee, Microsoft, Norton and Trend Micro. Added to this were 9 solutions for corporate users from Acronis, Avast, Kaspersky (with two versions), Microworld, Norton, Qualys, Sophos and Trellix.</w:t>
      </w:r>
    </w:p>
    <w:p w14:paraId="11B841D1" w14:textId="53007309" w:rsidR="00407AAB" w:rsidRPr="00C46937" w:rsidRDefault="00694952" w:rsidP="000E6A02">
      <w:pPr>
        <w:ind w:right="-6"/>
        <w:rPr>
          <w:lang w:val="en-US"/>
        </w:rPr>
      </w:pPr>
      <w:r w:rsidRPr="00C46937">
        <w:rPr>
          <w:lang w:val="en-US"/>
        </w:rPr>
        <w:lastRenderedPageBreak/>
        <w:t xml:space="preserve">Each product was subjected to 5 attack scenarios using ransomware and infostealers. The test experts then awarded the points. This means up to 3 points for fending off ransomware, and up to 4 points for defending against infostealers. Half points are also awarded if a product is capable of mounting a partial defense against an attack. At the end of the test, the highest value in the protection score is 35 points. </w:t>
      </w:r>
    </w:p>
    <w:p w14:paraId="3AB33924" w14:textId="0FD8DDD9" w:rsidR="004E0C59" w:rsidRPr="00C46937" w:rsidRDefault="004E0C59" w:rsidP="000E6A02">
      <w:pPr>
        <w:ind w:right="-6"/>
        <w:rPr>
          <w:b/>
          <w:bCs/>
          <w:sz w:val="28"/>
          <w:szCs w:val="28"/>
          <w:lang w:val="en-US"/>
        </w:rPr>
      </w:pPr>
      <w:r w:rsidRPr="00C46937">
        <w:rPr>
          <w:b/>
          <w:sz w:val="28"/>
          <w:lang w:val="en-US"/>
        </w:rPr>
        <w:t>11 consumer user packages in the ATP test</w:t>
      </w:r>
    </w:p>
    <w:p w14:paraId="13B1DCFB" w14:textId="71D7C11F" w:rsidR="004E0C59" w:rsidRPr="00C46937" w:rsidRDefault="004E0C59" w:rsidP="000E6A02">
      <w:pPr>
        <w:ind w:right="-6"/>
        <w:rPr>
          <w:lang w:val="en-US"/>
        </w:rPr>
      </w:pPr>
      <w:r w:rsidRPr="00C46937">
        <w:rPr>
          <w:lang w:val="en-US"/>
        </w:rPr>
        <w:t xml:space="preserve">The security packages for consumer users of Windows 10 systems needed to fend off a number of attacks in the test. 8 of the 11 products tested were neither tricked by the malware nor the latest attack tactics. The following solutions detected the attackers in all 10 scenarios and deleted the malware: Avast, AVG, Bitdefender, K7 Computing, Kaspersky, McAfee, Microsoft and Norton. </w:t>
      </w:r>
    </w:p>
    <w:p w14:paraId="7801C2AE" w14:textId="3A5B2CCE" w:rsidR="00313D5E" w:rsidRPr="00C46937" w:rsidRDefault="00313D5E" w:rsidP="000E6A02">
      <w:pPr>
        <w:ind w:right="-6"/>
        <w:rPr>
          <w:lang w:val="en-US"/>
        </w:rPr>
      </w:pPr>
      <w:r w:rsidRPr="00C46937">
        <w:rPr>
          <w:lang w:val="en-US"/>
        </w:rPr>
        <w:t>In the end, the Windows package from ESET also detected all attackers; however, it ran into trouble in four cases. The package managed to detect two malware samples, yet it couldn’t completely stop them. Only through the use of secondary protection modules was it possible to stop the attackers. This resulted in half a point being deducted twice. The scenarios started in a similar fashion for two infostealers. Detection was a success; however, there were problems when it came to stopping the infostealers. The malware was prevented from being installed, but it was not possible to block further malware processes. And in both cases, the attackers eventually prevailed. Since data was stolen, it led to a deduction of 2.5 points in both instances. Altogether, 6 points were deducted from the protection score, which means that the ESET product earned a score of only 29 points.</w:t>
      </w:r>
    </w:p>
    <w:p w14:paraId="2E4B8550" w14:textId="7F584E64" w:rsidR="00BC6669" w:rsidRPr="00C46937" w:rsidRDefault="00BC6669" w:rsidP="000E6A02">
      <w:pPr>
        <w:ind w:right="-6"/>
        <w:rPr>
          <w:lang w:val="en-US"/>
        </w:rPr>
      </w:pPr>
      <w:r w:rsidRPr="00C46937">
        <w:rPr>
          <w:lang w:val="en-US"/>
        </w:rPr>
        <w:t>The problems that Avira and Trend Micro encountered can be explained quickly. Both solutions could not detect one ransomware and one infostealer attack, which meant that the malware was able to inflict damage unhindered. The interesting factor: both products ran into problems in scenarios No. 5 and No. 10. And the point deduction was also the same: each package lost 7 points and achieved a score of only 28 points in the protection category.</w:t>
      </w:r>
    </w:p>
    <w:p w14:paraId="62E728C9" w14:textId="781B231A" w:rsidR="008635E5" w:rsidRPr="00C46937" w:rsidRDefault="004C2A40" w:rsidP="000E6A02">
      <w:pPr>
        <w:ind w:right="-6"/>
        <w:rPr>
          <w:lang w:val="en-US"/>
        </w:rPr>
      </w:pPr>
      <w:r w:rsidRPr="00C46937">
        <w:rPr>
          <w:lang w:val="en-US"/>
        </w:rPr>
        <w:t xml:space="preserve">A solution needs to achieve the required 75 percent (at least 26.5 points) out of 35 points for the protection score in order to pass certification testing. All 11 packages were successful in achieving this. They also need to regularly participate in the </w:t>
      </w:r>
      <w:hyperlink r:id="rId8" w:history="1">
        <w:r w:rsidRPr="00C46937">
          <w:rPr>
            <w:rStyle w:val="Hyperlink"/>
            <w:lang w:val="en-US"/>
          </w:rPr>
          <w:t>bimonthly Windows tests</w:t>
        </w:r>
      </w:hyperlink>
      <w:r w:rsidRPr="00C46937">
        <w:rPr>
          <w:lang w:val="en-US"/>
        </w:rPr>
        <w:t>. Again, all products fulfilled this requirement and were awarded the AV-TEST “Advanced Certified” certificate.</w:t>
      </w:r>
    </w:p>
    <w:p w14:paraId="390B9EEB" w14:textId="6C127431" w:rsidR="00843DE3" w:rsidRPr="00C46937" w:rsidRDefault="00843DE3" w:rsidP="000E6A02">
      <w:pPr>
        <w:ind w:right="-6"/>
        <w:rPr>
          <w:b/>
          <w:bCs/>
          <w:sz w:val="28"/>
          <w:szCs w:val="28"/>
          <w:lang w:val="en-US"/>
        </w:rPr>
      </w:pPr>
      <w:r w:rsidRPr="00C46937">
        <w:rPr>
          <w:b/>
          <w:sz w:val="28"/>
          <w:lang w:val="en-US"/>
        </w:rPr>
        <w:t>9 corporate solutions put to the ATP test</w:t>
      </w:r>
    </w:p>
    <w:p w14:paraId="7D5B9114" w14:textId="2E968807" w:rsidR="008E1876" w:rsidRPr="00C46937" w:rsidRDefault="00E02E0B" w:rsidP="000E6A02">
      <w:pPr>
        <w:ind w:right="-6"/>
        <w:rPr>
          <w:lang w:val="en-US"/>
        </w:rPr>
      </w:pPr>
      <w:r w:rsidRPr="00C46937">
        <w:rPr>
          <w:lang w:val="en-US"/>
        </w:rPr>
        <w:t>There were 9 solutions tested for use in the corporate environment. 6 of the 9 products scored full points in the ATP test. In all 10 scenarios, they identified the attackers without fail and earned 35 points each in the protection category: Acronis, Avast, Kaspersky (with two versions), Microworld and Trellix.</w:t>
      </w:r>
    </w:p>
    <w:p w14:paraId="0707BA58" w14:textId="3B5311B5" w:rsidR="008E1876" w:rsidRPr="00C46937" w:rsidRDefault="000A7987" w:rsidP="000E6A02">
      <w:pPr>
        <w:ind w:right="-6"/>
        <w:rPr>
          <w:lang w:val="en-US"/>
        </w:rPr>
      </w:pPr>
      <w:r w:rsidRPr="00C46937">
        <w:rPr>
          <w:lang w:val="en-US"/>
        </w:rPr>
        <w:t>The solutions from Norton, Qualys and Sophos were able to detect all dangerous malware; however, they were not able to immediately block the attackers in two scenarios each. It took the extra effort of secondary protection mechanisms to isolate and delete the attackers’ malware. Interestingly enough, all solutions initially had problems handling attack scenarios No. 5 and No. 10. Some of the protection packages for consumer users also encountered issues with these scenarios. This is extremely important for the vendors to know.</w:t>
      </w:r>
    </w:p>
    <w:p w14:paraId="48EE1B5B" w14:textId="24D7C2CD" w:rsidR="008E1876" w:rsidRPr="00C46937" w:rsidRDefault="000F57AF" w:rsidP="000E6A02">
      <w:pPr>
        <w:ind w:right="-6"/>
        <w:rPr>
          <w:lang w:val="en-US"/>
        </w:rPr>
      </w:pPr>
      <w:r w:rsidRPr="00C46937">
        <w:rPr>
          <w:lang w:val="en-US"/>
        </w:rPr>
        <w:t xml:space="preserve">The same criteria are applied to the products for corporate users. These solutions need to achieve the required 75 percent (at least 26.5 points) out of 35 points for the protection score in order to pass certification testing. In addition, they need to regularly participate in the </w:t>
      </w:r>
      <w:hyperlink r:id="rId9" w:history="1">
        <w:r w:rsidRPr="00C46937">
          <w:rPr>
            <w:rStyle w:val="Hyperlink"/>
            <w:lang w:val="en-US"/>
          </w:rPr>
          <w:t>bimonthly Windows tests</w:t>
        </w:r>
      </w:hyperlink>
      <w:r w:rsidRPr="00C46937">
        <w:rPr>
          <w:lang w:val="en-US"/>
        </w:rPr>
        <w:t xml:space="preserve">. Since </w:t>
      </w:r>
      <w:r w:rsidRPr="00C46937">
        <w:rPr>
          <w:lang w:val="en-US"/>
        </w:rPr>
        <w:lastRenderedPageBreak/>
        <w:t>all of the solutions for corporate users fulfilled the requirements, they received “Advanced Approved Endpoint Protection” certification.</w:t>
      </w:r>
    </w:p>
    <w:p w14:paraId="70E27A05" w14:textId="7A838A90" w:rsidR="00EE2FF5" w:rsidRPr="00C46937" w:rsidRDefault="00580DC1" w:rsidP="000E6A02">
      <w:pPr>
        <w:ind w:right="-6"/>
        <w:rPr>
          <w:b/>
          <w:bCs/>
          <w:sz w:val="28"/>
          <w:szCs w:val="28"/>
          <w:lang w:val="en-US"/>
        </w:rPr>
      </w:pPr>
      <w:r w:rsidRPr="00C46937">
        <w:rPr>
          <w:b/>
          <w:sz w:val="28"/>
          <w:lang w:val="en-US"/>
        </w:rPr>
        <w:t>Crucial takeaways for several of the test participants</w:t>
      </w:r>
    </w:p>
    <w:p w14:paraId="52E6C553" w14:textId="474BDFFA" w:rsidR="005233D5" w:rsidRPr="00C46937" w:rsidRDefault="002B5701" w:rsidP="000E6A02">
      <w:pPr>
        <w:ind w:right="-6"/>
        <w:rPr>
          <w:lang w:val="en-US"/>
        </w:rPr>
      </w:pPr>
      <w:r w:rsidRPr="00C46937">
        <w:rPr>
          <w:lang w:val="en-US"/>
        </w:rPr>
        <w:t xml:space="preserve">The attack techniques used in the ATP test are different from test to test, but they are always based on current attack campaigns or they are recent tactics observed by experts. The majority of the vendors earn the full set of points in the category of protection thanks to the excellent, and oftentimes flawless, work they put into their respective product. </w:t>
      </w:r>
    </w:p>
    <w:p w14:paraId="2D51B760" w14:textId="00F29364" w:rsidR="003543B3" w:rsidRPr="00C46937" w:rsidRDefault="003543B3" w:rsidP="000E6A02">
      <w:pPr>
        <w:ind w:right="-6"/>
        <w:rPr>
          <w:lang w:val="en-US"/>
        </w:rPr>
      </w:pPr>
      <w:r w:rsidRPr="00C46937">
        <w:rPr>
          <w:lang w:val="en-US"/>
        </w:rPr>
        <w:t xml:space="preserve">In the current test for consumer users of Windows computers, 8 out of 11 products tested make the grade: Avast, AVG, Bitdefender, K7 Computing, Kaspersky, McAfee, Microsoft and Norton. </w:t>
      </w:r>
    </w:p>
    <w:p w14:paraId="1D5AEF54" w14:textId="0459274F" w:rsidR="00BC4AD5" w:rsidRPr="00C46937" w:rsidRDefault="00BC4AD5" w:rsidP="000E6A02">
      <w:pPr>
        <w:ind w:right="-6"/>
        <w:rPr>
          <w:lang w:val="en-US"/>
        </w:rPr>
      </w:pPr>
      <w:r w:rsidRPr="00C46937">
        <w:rPr>
          <w:lang w:val="en-US"/>
        </w:rPr>
        <w:t>And a further 6 out of 9 of the protection solutions for corporate users of Windows systems earned the flawless score of 35 points in the certification testing: Acronis, Avast, Kaspersky (with two versions), Microworld and Trellix.</w:t>
      </w:r>
    </w:p>
    <w:p w14:paraId="0866A71C" w14:textId="2956F37E" w:rsidR="005D012E" w:rsidRPr="00C46937" w:rsidRDefault="00C02E09" w:rsidP="000E6A02">
      <w:pPr>
        <w:ind w:right="-6"/>
        <w:rPr>
          <w:b/>
          <w:bCs/>
          <w:lang w:val="en-US"/>
        </w:rPr>
      </w:pPr>
      <w:r w:rsidRPr="00C46937">
        <w:rPr>
          <w:lang w:val="en-US"/>
        </w:rPr>
        <w:t>All other products tested had some difficulties with a few scenarios, which interestingly enough were the same ones in many cases. These are crucial takeaways for the developer teams of these solutions, in an effort to improve on the product in future releases. It also stands to note that, when a solution did not immediately detect the attacker, the secondary protection modules were effectively triggered and eventually protected the Windows systems from any damage. The attackers were only truly successful in 4 out of 200 scenarios tested in the lab, eventually encrypting the systems or stealing data.</w:t>
      </w:r>
    </w:p>
    <w:p w14:paraId="74E7D5A2" w14:textId="77777777" w:rsidR="00D73632" w:rsidRPr="00C46937" w:rsidRDefault="00D73632" w:rsidP="000E6A02">
      <w:pPr>
        <w:ind w:right="-6"/>
        <w:rPr>
          <w:b/>
          <w:bCs/>
          <w:lang w:val="en-US"/>
        </w:rPr>
      </w:pPr>
    </w:p>
    <w:p w14:paraId="0452D854" w14:textId="77777777" w:rsidR="00827F84" w:rsidRPr="00C46937" w:rsidRDefault="00827F84" w:rsidP="000E6A02">
      <w:pPr>
        <w:ind w:right="-6"/>
        <w:rPr>
          <w:b/>
          <w:bCs/>
          <w:sz w:val="24"/>
          <w:szCs w:val="24"/>
          <w:lang w:val="en-US"/>
        </w:rPr>
      </w:pPr>
      <w:r w:rsidRPr="00C46937">
        <w:rPr>
          <w:b/>
          <w:sz w:val="24"/>
          <w:lang w:val="en-US"/>
        </w:rPr>
        <w:t>The 10 test scenarios</w:t>
      </w:r>
    </w:p>
    <w:p w14:paraId="7941C91B" w14:textId="6C3F9182" w:rsidR="00827F84" w:rsidRPr="00C46937" w:rsidRDefault="00827F84" w:rsidP="000E6A02">
      <w:pPr>
        <w:ind w:right="-6"/>
        <w:rPr>
          <w:lang w:val="en-US"/>
        </w:rPr>
      </w:pPr>
      <w:r w:rsidRPr="00C46937">
        <w:rPr>
          <w:lang w:val="en-US"/>
        </w:rPr>
        <w:t xml:space="preserve">All attack scenarios are documented according to the standard of the MITRE ATT&amp;CK database. The individual sub-techniques are listed in the MITRE database for “Techniques”, for example, “T1566.001” under “Phishing: Spearphishing Attachment”. Each test step is thus defined among the experts and can be logically understood. In addition, all attack techniques are explained, along with how and why the malware infection occurs and impacts systems. </w:t>
      </w:r>
    </w:p>
    <w:p w14:paraId="4725D2D2" w14:textId="77777777" w:rsidR="00827F84" w:rsidRPr="00C46937" w:rsidRDefault="00827F84" w:rsidP="000E6A02">
      <w:pPr>
        <w:ind w:right="-6"/>
        <w:rPr>
          <w:lang w:val="en-US"/>
        </w:rPr>
      </w:pPr>
    </w:p>
    <w:p w14:paraId="67691CCB" w14:textId="7D52768D" w:rsidR="00FE7944" w:rsidRPr="00C46937" w:rsidRDefault="00F84363" w:rsidP="000E6A02">
      <w:pPr>
        <w:ind w:right="-6"/>
        <w:rPr>
          <w:lang w:val="en-US"/>
        </w:rPr>
      </w:pPr>
      <w:r>
        <w:rPr>
          <w:noProof/>
        </w:rPr>
        <w:drawing>
          <wp:inline distT="0" distB="0" distL="0" distR="0" wp14:anchorId="2D5B006B" wp14:editId="7D0F300A">
            <wp:extent cx="2710645" cy="1828800"/>
            <wp:effectExtent l="0" t="0" r="0" b="0"/>
            <wp:docPr id="146987222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0017" cy="1841870"/>
                    </a:xfrm>
                    <a:prstGeom prst="rect">
                      <a:avLst/>
                    </a:prstGeom>
                    <a:noFill/>
                    <a:ln>
                      <a:noFill/>
                    </a:ln>
                  </pic:spPr>
                </pic:pic>
              </a:graphicData>
            </a:graphic>
          </wp:inline>
        </w:drawing>
      </w:r>
    </w:p>
    <w:p w14:paraId="5C127379" w14:textId="7C0E77BD" w:rsidR="00DE63CC" w:rsidRPr="00C46937" w:rsidRDefault="00E125C9" w:rsidP="000E6A02">
      <w:pPr>
        <w:ind w:right="-6"/>
        <w:rPr>
          <w:b/>
          <w:bCs/>
          <w:lang w:val="en-US"/>
        </w:rPr>
      </w:pPr>
      <w:r w:rsidRPr="00C46937">
        <w:rPr>
          <w:b/>
          <w:lang w:val="en-US"/>
        </w:rPr>
        <w:t>11 consumer user packages in the ATP test</w:t>
      </w:r>
    </w:p>
    <w:p w14:paraId="697E610A" w14:textId="642221CB" w:rsidR="00705E60" w:rsidRPr="00C46937" w:rsidRDefault="00705E60" w:rsidP="000E6A02">
      <w:pPr>
        <w:ind w:right="-6"/>
        <w:rPr>
          <w:lang w:val="en-US"/>
        </w:rPr>
      </w:pPr>
      <w:r w:rsidRPr="00C46937">
        <w:rPr>
          <w:lang w:val="en-US"/>
        </w:rPr>
        <w:t>Most of the 11 security packages tested fended off the ransomware and infostealer attacks under Windows 10.</w:t>
      </w:r>
    </w:p>
    <w:p w14:paraId="5D270D01" w14:textId="7771930E" w:rsidR="009125D8" w:rsidRPr="00C46937" w:rsidRDefault="005A76F9" w:rsidP="000E6A02">
      <w:pPr>
        <w:ind w:right="-6"/>
        <w:rPr>
          <w:b/>
          <w:bCs/>
          <w:lang w:val="en-US"/>
        </w:rPr>
      </w:pPr>
      <w:r>
        <w:rPr>
          <w:noProof/>
        </w:rPr>
        <w:lastRenderedPageBreak/>
        <w:drawing>
          <wp:inline distT="0" distB="0" distL="0" distR="0" wp14:anchorId="66AB5970" wp14:editId="1ED218D4">
            <wp:extent cx="2726162" cy="1538277"/>
            <wp:effectExtent l="0" t="0" r="0" b="5080"/>
            <wp:docPr id="198381457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2520" cy="1541865"/>
                    </a:xfrm>
                    <a:prstGeom prst="rect">
                      <a:avLst/>
                    </a:prstGeom>
                    <a:noFill/>
                    <a:ln>
                      <a:noFill/>
                    </a:ln>
                  </pic:spPr>
                </pic:pic>
              </a:graphicData>
            </a:graphic>
          </wp:inline>
        </w:drawing>
      </w:r>
    </w:p>
    <w:p w14:paraId="107B79C7" w14:textId="7CA14EEE" w:rsidR="00983015" w:rsidRPr="00C46937" w:rsidRDefault="00160B1D" w:rsidP="000E6A02">
      <w:pPr>
        <w:ind w:right="-6"/>
        <w:rPr>
          <w:b/>
          <w:bCs/>
          <w:lang w:val="en-US"/>
        </w:rPr>
      </w:pPr>
      <w:r w:rsidRPr="00C46937">
        <w:rPr>
          <w:b/>
          <w:lang w:val="en-US"/>
        </w:rPr>
        <w:t>ATP test of endpoint solutions for corporate users</w:t>
      </w:r>
    </w:p>
    <w:p w14:paraId="29D2A4AD" w14:textId="22F51305" w:rsidR="007B3B46" w:rsidRPr="00C46937" w:rsidRDefault="006D6821" w:rsidP="000E6A02">
      <w:pPr>
        <w:ind w:right="-6"/>
        <w:rPr>
          <w:lang w:val="en-US"/>
        </w:rPr>
      </w:pPr>
      <w:r w:rsidRPr="00C46937">
        <w:rPr>
          <w:lang w:val="en-US"/>
        </w:rPr>
        <w:t>6 of the 9 security solutions for corporate users under Windows successfully defended against ransomware attackers and infostealers in the latest ATP test.</w:t>
      </w:r>
    </w:p>
    <w:sectPr w:rsidR="007B3B46" w:rsidRPr="00C46937" w:rsidSect="00C46937">
      <w:headerReference w:type="default" r:id="rId12"/>
      <w:footerReference w:type="default" r:id="rId13"/>
      <w:pgSz w:w="11900" w:h="16840"/>
      <w:pgMar w:top="1417" w:right="991" w:bottom="993"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B02D3" w14:textId="77777777" w:rsidR="000E5F0B" w:rsidRDefault="000E5F0B">
      <w:pPr>
        <w:spacing w:after="0" w:line="240" w:lineRule="auto"/>
      </w:pPr>
      <w:r>
        <w:separator/>
      </w:r>
    </w:p>
  </w:endnote>
  <w:endnote w:type="continuationSeparator" w:id="0">
    <w:p w14:paraId="49F44D5A" w14:textId="77777777" w:rsidR="000E5F0B" w:rsidRDefault="000E5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2738B" w14:textId="77777777" w:rsidR="00DE63CC" w:rsidRDefault="00DE63CC">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21F16" w14:textId="77777777" w:rsidR="000E5F0B" w:rsidRDefault="000E5F0B">
      <w:pPr>
        <w:spacing w:after="0" w:line="240" w:lineRule="auto"/>
      </w:pPr>
      <w:r>
        <w:separator/>
      </w:r>
    </w:p>
  </w:footnote>
  <w:footnote w:type="continuationSeparator" w:id="0">
    <w:p w14:paraId="4AB972A2" w14:textId="77777777" w:rsidR="000E5F0B" w:rsidRDefault="000E5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2738A" w14:textId="77777777" w:rsidR="00DE63CC" w:rsidRDefault="00DE63CC">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991423"/>
    <w:multiLevelType w:val="multilevel"/>
    <w:tmpl w:val="685E7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D82F91"/>
    <w:multiLevelType w:val="multilevel"/>
    <w:tmpl w:val="F2BEF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1327358">
    <w:abstractNumId w:val="0"/>
  </w:num>
  <w:num w:numId="2" w16cid:durableId="152069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CC"/>
    <w:rsid w:val="00000088"/>
    <w:rsid w:val="0000012E"/>
    <w:rsid w:val="00001396"/>
    <w:rsid w:val="0000224F"/>
    <w:rsid w:val="00002590"/>
    <w:rsid w:val="00004DF1"/>
    <w:rsid w:val="00005B6D"/>
    <w:rsid w:val="00006161"/>
    <w:rsid w:val="00006868"/>
    <w:rsid w:val="000069E8"/>
    <w:rsid w:val="00007DEB"/>
    <w:rsid w:val="00007ECA"/>
    <w:rsid w:val="0001010B"/>
    <w:rsid w:val="00010A6F"/>
    <w:rsid w:val="000118ED"/>
    <w:rsid w:val="00011B34"/>
    <w:rsid w:val="000121C3"/>
    <w:rsid w:val="0001308C"/>
    <w:rsid w:val="00013675"/>
    <w:rsid w:val="00013B81"/>
    <w:rsid w:val="00013E11"/>
    <w:rsid w:val="0001419D"/>
    <w:rsid w:val="00015094"/>
    <w:rsid w:val="000154BF"/>
    <w:rsid w:val="00015F82"/>
    <w:rsid w:val="000161AF"/>
    <w:rsid w:val="0001641B"/>
    <w:rsid w:val="000176CE"/>
    <w:rsid w:val="00017F6D"/>
    <w:rsid w:val="00022875"/>
    <w:rsid w:val="00022947"/>
    <w:rsid w:val="000233F7"/>
    <w:rsid w:val="00023CE2"/>
    <w:rsid w:val="0002454B"/>
    <w:rsid w:val="00024C67"/>
    <w:rsid w:val="000255B7"/>
    <w:rsid w:val="000256B5"/>
    <w:rsid w:val="0003008A"/>
    <w:rsid w:val="0003167D"/>
    <w:rsid w:val="0003343C"/>
    <w:rsid w:val="00033767"/>
    <w:rsid w:val="00035430"/>
    <w:rsid w:val="000376CD"/>
    <w:rsid w:val="000415C6"/>
    <w:rsid w:val="00041B3B"/>
    <w:rsid w:val="00041EFF"/>
    <w:rsid w:val="000420DA"/>
    <w:rsid w:val="00044259"/>
    <w:rsid w:val="00045195"/>
    <w:rsid w:val="00046169"/>
    <w:rsid w:val="00047B79"/>
    <w:rsid w:val="00050E1B"/>
    <w:rsid w:val="00051970"/>
    <w:rsid w:val="0005275D"/>
    <w:rsid w:val="00052AF8"/>
    <w:rsid w:val="00052CBA"/>
    <w:rsid w:val="00052E0C"/>
    <w:rsid w:val="000541C1"/>
    <w:rsid w:val="00054629"/>
    <w:rsid w:val="00055D84"/>
    <w:rsid w:val="00055EFB"/>
    <w:rsid w:val="00056969"/>
    <w:rsid w:val="0005785A"/>
    <w:rsid w:val="00060088"/>
    <w:rsid w:val="0006023B"/>
    <w:rsid w:val="00060CF5"/>
    <w:rsid w:val="000612AE"/>
    <w:rsid w:val="0006189C"/>
    <w:rsid w:val="00064BAA"/>
    <w:rsid w:val="00066B6A"/>
    <w:rsid w:val="000709B6"/>
    <w:rsid w:val="00073621"/>
    <w:rsid w:val="00073873"/>
    <w:rsid w:val="000747AF"/>
    <w:rsid w:val="00074864"/>
    <w:rsid w:val="0007628C"/>
    <w:rsid w:val="000767B1"/>
    <w:rsid w:val="00077437"/>
    <w:rsid w:val="00080A25"/>
    <w:rsid w:val="00080E93"/>
    <w:rsid w:val="00081F2D"/>
    <w:rsid w:val="00083493"/>
    <w:rsid w:val="00084CF0"/>
    <w:rsid w:val="00085AAE"/>
    <w:rsid w:val="0008689C"/>
    <w:rsid w:val="00087E53"/>
    <w:rsid w:val="00090FBF"/>
    <w:rsid w:val="0009122F"/>
    <w:rsid w:val="00091DBB"/>
    <w:rsid w:val="00092413"/>
    <w:rsid w:val="00095B2F"/>
    <w:rsid w:val="00095F00"/>
    <w:rsid w:val="00095FB4"/>
    <w:rsid w:val="000960FA"/>
    <w:rsid w:val="00096DD9"/>
    <w:rsid w:val="0009762D"/>
    <w:rsid w:val="000A06F9"/>
    <w:rsid w:val="000A22BF"/>
    <w:rsid w:val="000A3324"/>
    <w:rsid w:val="000A3899"/>
    <w:rsid w:val="000A47D4"/>
    <w:rsid w:val="000A5E72"/>
    <w:rsid w:val="000A76CB"/>
    <w:rsid w:val="000A7987"/>
    <w:rsid w:val="000B0D77"/>
    <w:rsid w:val="000B1427"/>
    <w:rsid w:val="000B2908"/>
    <w:rsid w:val="000B3129"/>
    <w:rsid w:val="000B463F"/>
    <w:rsid w:val="000B4A08"/>
    <w:rsid w:val="000B677F"/>
    <w:rsid w:val="000B72F5"/>
    <w:rsid w:val="000B73BF"/>
    <w:rsid w:val="000C0866"/>
    <w:rsid w:val="000C155B"/>
    <w:rsid w:val="000C3840"/>
    <w:rsid w:val="000C49CC"/>
    <w:rsid w:val="000C5443"/>
    <w:rsid w:val="000C799C"/>
    <w:rsid w:val="000D0D25"/>
    <w:rsid w:val="000D1923"/>
    <w:rsid w:val="000D2EA4"/>
    <w:rsid w:val="000D362E"/>
    <w:rsid w:val="000D3A9F"/>
    <w:rsid w:val="000D4813"/>
    <w:rsid w:val="000D53FD"/>
    <w:rsid w:val="000D5598"/>
    <w:rsid w:val="000D55A0"/>
    <w:rsid w:val="000D5E33"/>
    <w:rsid w:val="000D5FC5"/>
    <w:rsid w:val="000D6A48"/>
    <w:rsid w:val="000E3D14"/>
    <w:rsid w:val="000E4D4B"/>
    <w:rsid w:val="000E5495"/>
    <w:rsid w:val="000E5A7E"/>
    <w:rsid w:val="000E5F0B"/>
    <w:rsid w:val="000E6A02"/>
    <w:rsid w:val="000E6BFF"/>
    <w:rsid w:val="000F0587"/>
    <w:rsid w:val="000F1848"/>
    <w:rsid w:val="000F40A0"/>
    <w:rsid w:val="000F42EC"/>
    <w:rsid w:val="000F53E6"/>
    <w:rsid w:val="000F57AF"/>
    <w:rsid w:val="000F74FC"/>
    <w:rsid w:val="00100114"/>
    <w:rsid w:val="00100A78"/>
    <w:rsid w:val="001020E9"/>
    <w:rsid w:val="00102971"/>
    <w:rsid w:val="0010335E"/>
    <w:rsid w:val="0010356F"/>
    <w:rsid w:val="00105615"/>
    <w:rsid w:val="0010603E"/>
    <w:rsid w:val="00106507"/>
    <w:rsid w:val="00111855"/>
    <w:rsid w:val="00112EA2"/>
    <w:rsid w:val="001133A4"/>
    <w:rsid w:val="00115885"/>
    <w:rsid w:val="00116F25"/>
    <w:rsid w:val="001215BC"/>
    <w:rsid w:val="00121A4D"/>
    <w:rsid w:val="00122230"/>
    <w:rsid w:val="0012231E"/>
    <w:rsid w:val="0012236C"/>
    <w:rsid w:val="001234E2"/>
    <w:rsid w:val="00123702"/>
    <w:rsid w:val="00123782"/>
    <w:rsid w:val="001244F8"/>
    <w:rsid w:val="00124E80"/>
    <w:rsid w:val="00125528"/>
    <w:rsid w:val="00131C1B"/>
    <w:rsid w:val="00131C83"/>
    <w:rsid w:val="0013383B"/>
    <w:rsid w:val="00135660"/>
    <w:rsid w:val="00136D9B"/>
    <w:rsid w:val="001401D7"/>
    <w:rsid w:val="00140569"/>
    <w:rsid w:val="00140597"/>
    <w:rsid w:val="00141382"/>
    <w:rsid w:val="001422F3"/>
    <w:rsid w:val="001431E2"/>
    <w:rsid w:val="00143276"/>
    <w:rsid w:val="00143400"/>
    <w:rsid w:val="001449D4"/>
    <w:rsid w:val="00147AE0"/>
    <w:rsid w:val="0015049A"/>
    <w:rsid w:val="00152875"/>
    <w:rsid w:val="00152A66"/>
    <w:rsid w:val="001540E9"/>
    <w:rsid w:val="00154D8F"/>
    <w:rsid w:val="00156D52"/>
    <w:rsid w:val="00157C53"/>
    <w:rsid w:val="00160B1D"/>
    <w:rsid w:val="00163757"/>
    <w:rsid w:val="001639DF"/>
    <w:rsid w:val="001642C9"/>
    <w:rsid w:val="00166B20"/>
    <w:rsid w:val="00166FCD"/>
    <w:rsid w:val="00167139"/>
    <w:rsid w:val="00167196"/>
    <w:rsid w:val="00167DBE"/>
    <w:rsid w:val="00170487"/>
    <w:rsid w:val="00170556"/>
    <w:rsid w:val="00174150"/>
    <w:rsid w:val="0017420F"/>
    <w:rsid w:val="00174DFE"/>
    <w:rsid w:val="0017586A"/>
    <w:rsid w:val="001761CB"/>
    <w:rsid w:val="00176B8B"/>
    <w:rsid w:val="00176FF9"/>
    <w:rsid w:val="00182F4F"/>
    <w:rsid w:val="00183638"/>
    <w:rsid w:val="00183FE6"/>
    <w:rsid w:val="001844B3"/>
    <w:rsid w:val="001850F6"/>
    <w:rsid w:val="00185FDB"/>
    <w:rsid w:val="001872D0"/>
    <w:rsid w:val="00190F34"/>
    <w:rsid w:val="00193223"/>
    <w:rsid w:val="00193D86"/>
    <w:rsid w:val="0019469A"/>
    <w:rsid w:val="00194CCD"/>
    <w:rsid w:val="00195689"/>
    <w:rsid w:val="0019710B"/>
    <w:rsid w:val="00197DF8"/>
    <w:rsid w:val="001A06AB"/>
    <w:rsid w:val="001A071C"/>
    <w:rsid w:val="001A1E1F"/>
    <w:rsid w:val="001A228F"/>
    <w:rsid w:val="001A2FB2"/>
    <w:rsid w:val="001A3313"/>
    <w:rsid w:val="001A3AD4"/>
    <w:rsid w:val="001A4A07"/>
    <w:rsid w:val="001A5F06"/>
    <w:rsid w:val="001A6823"/>
    <w:rsid w:val="001A6881"/>
    <w:rsid w:val="001A69A1"/>
    <w:rsid w:val="001A789B"/>
    <w:rsid w:val="001B117D"/>
    <w:rsid w:val="001B129F"/>
    <w:rsid w:val="001B133A"/>
    <w:rsid w:val="001B1509"/>
    <w:rsid w:val="001B1FD2"/>
    <w:rsid w:val="001B20DE"/>
    <w:rsid w:val="001B24CF"/>
    <w:rsid w:val="001B31C1"/>
    <w:rsid w:val="001B374E"/>
    <w:rsid w:val="001B5B4C"/>
    <w:rsid w:val="001B6332"/>
    <w:rsid w:val="001B739A"/>
    <w:rsid w:val="001C0529"/>
    <w:rsid w:val="001C1645"/>
    <w:rsid w:val="001C37B4"/>
    <w:rsid w:val="001C4477"/>
    <w:rsid w:val="001C5A3E"/>
    <w:rsid w:val="001C5CE5"/>
    <w:rsid w:val="001D0A0D"/>
    <w:rsid w:val="001D195E"/>
    <w:rsid w:val="001D19BA"/>
    <w:rsid w:val="001D2D7C"/>
    <w:rsid w:val="001D55E6"/>
    <w:rsid w:val="001D58FE"/>
    <w:rsid w:val="001D7208"/>
    <w:rsid w:val="001D7416"/>
    <w:rsid w:val="001E0963"/>
    <w:rsid w:val="001E0A12"/>
    <w:rsid w:val="001E1873"/>
    <w:rsid w:val="001E20C4"/>
    <w:rsid w:val="001E3BCA"/>
    <w:rsid w:val="001E434B"/>
    <w:rsid w:val="001E55E2"/>
    <w:rsid w:val="001E63BA"/>
    <w:rsid w:val="001E6D6C"/>
    <w:rsid w:val="001F1CF7"/>
    <w:rsid w:val="001F270E"/>
    <w:rsid w:val="001F53F3"/>
    <w:rsid w:val="001F587E"/>
    <w:rsid w:val="001F7BEB"/>
    <w:rsid w:val="001F7C8C"/>
    <w:rsid w:val="00200106"/>
    <w:rsid w:val="00200E9F"/>
    <w:rsid w:val="00201CB6"/>
    <w:rsid w:val="002027CE"/>
    <w:rsid w:val="00203015"/>
    <w:rsid w:val="00203078"/>
    <w:rsid w:val="002053B6"/>
    <w:rsid w:val="00205D81"/>
    <w:rsid w:val="00206495"/>
    <w:rsid w:val="002066CF"/>
    <w:rsid w:val="00207319"/>
    <w:rsid w:val="00207C5C"/>
    <w:rsid w:val="00210913"/>
    <w:rsid w:val="002110F8"/>
    <w:rsid w:val="002130A1"/>
    <w:rsid w:val="00215255"/>
    <w:rsid w:val="00216EA1"/>
    <w:rsid w:val="0022009F"/>
    <w:rsid w:val="00220389"/>
    <w:rsid w:val="00220763"/>
    <w:rsid w:val="002207FA"/>
    <w:rsid w:val="00221FDE"/>
    <w:rsid w:val="00223A80"/>
    <w:rsid w:val="0022525A"/>
    <w:rsid w:val="00225CE0"/>
    <w:rsid w:val="002261C8"/>
    <w:rsid w:val="002262C8"/>
    <w:rsid w:val="0022673D"/>
    <w:rsid w:val="00226D43"/>
    <w:rsid w:val="002275B9"/>
    <w:rsid w:val="002276AB"/>
    <w:rsid w:val="00231EDC"/>
    <w:rsid w:val="00232A4D"/>
    <w:rsid w:val="002345D6"/>
    <w:rsid w:val="00240A9E"/>
    <w:rsid w:val="002420F4"/>
    <w:rsid w:val="002425C0"/>
    <w:rsid w:val="00242D1D"/>
    <w:rsid w:val="00242EB9"/>
    <w:rsid w:val="0024348F"/>
    <w:rsid w:val="00243540"/>
    <w:rsid w:val="00246922"/>
    <w:rsid w:val="00246EF1"/>
    <w:rsid w:val="00247370"/>
    <w:rsid w:val="0025175F"/>
    <w:rsid w:val="0025308C"/>
    <w:rsid w:val="0025503E"/>
    <w:rsid w:val="00255885"/>
    <w:rsid w:val="00255BCB"/>
    <w:rsid w:val="002560DD"/>
    <w:rsid w:val="0025674C"/>
    <w:rsid w:val="00256AD9"/>
    <w:rsid w:val="002578BD"/>
    <w:rsid w:val="002602B5"/>
    <w:rsid w:val="00261909"/>
    <w:rsid w:val="0026372D"/>
    <w:rsid w:val="00263C9F"/>
    <w:rsid w:val="00264C03"/>
    <w:rsid w:val="00265326"/>
    <w:rsid w:val="00267848"/>
    <w:rsid w:val="00267F9D"/>
    <w:rsid w:val="0027113F"/>
    <w:rsid w:val="0027322C"/>
    <w:rsid w:val="0027441A"/>
    <w:rsid w:val="00274850"/>
    <w:rsid w:val="002774E5"/>
    <w:rsid w:val="00277BE7"/>
    <w:rsid w:val="00280126"/>
    <w:rsid w:val="002806B0"/>
    <w:rsid w:val="0028113A"/>
    <w:rsid w:val="002812F1"/>
    <w:rsid w:val="002819E5"/>
    <w:rsid w:val="00283AE1"/>
    <w:rsid w:val="00283CDF"/>
    <w:rsid w:val="00283D5C"/>
    <w:rsid w:val="002850C8"/>
    <w:rsid w:val="00285765"/>
    <w:rsid w:val="002858EE"/>
    <w:rsid w:val="00285EB8"/>
    <w:rsid w:val="002905CC"/>
    <w:rsid w:val="002916A0"/>
    <w:rsid w:val="00291FD8"/>
    <w:rsid w:val="002928C3"/>
    <w:rsid w:val="00292967"/>
    <w:rsid w:val="00293A95"/>
    <w:rsid w:val="00297483"/>
    <w:rsid w:val="002976B1"/>
    <w:rsid w:val="002A0B27"/>
    <w:rsid w:val="002A27CC"/>
    <w:rsid w:val="002A5043"/>
    <w:rsid w:val="002A63BF"/>
    <w:rsid w:val="002A6A09"/>
    <w:rsid w:val="002A6C57"/>
    <w:rsid w:val="002A71A6"/>
    <w:rsid w:val="002B09FB"/>
    <w:rsid w:val="002B0DA1"/>
    <w:rsid w:val="002B0E67"/>
    <w:rsid w:val="002B15E2"/>
    <w:rsid w:val="002B21C5"/>
    <w:rsid w:val="002B3196"/>
    <w:rsid w:val="002B440A"/>
    <w:rsid w:val="002B53E7"/>
    <w:rsid w:val="002B5701"/>
    <w:rsid w:val="002B6A2E"/>
    <w:rsid w:val="002B6D01"/>
    <w:rsid w:val="002B74DB"/>
    <w:rsid w:val="002B7866"/>
    <w:rsid w:val="002B7F94"/>
    <w:rsid w:val="002C0BAD"/>
    <w:rsid w:val="002C13B9"/>
    <w:rsid w:val="002C1486"/>
    <w:rsid w:val="002C4054"/>
    <w:rsid w:val="002C4CA3"/>
    <w:rsid w:val="002C504F"/>
    <w:rsid w:val="002C7480"/>
    <w:rsid w:val="002C7BFB"/>
    <w:rsid w:val="002D169D"/>
    <w:rsid w:val="002D4227"/>
    <w:rsid w:val="002D5509"/>
    <w:rsid w:val="002D5690"/>
    <w:rsid w:val="002D5759"/>
    <w:rsid w:val="002D5937"/>
    <w:rsid w:val="002D7131"/>
    <w:rsid w:val="002D79B1"/>
    <w:rsid w:val="002E0809"/>
    <w:rsid w:val="002E116A"/>
    <w:rsid w:val="002E20BC"/>
    <w:rsid w:val="002E2203"/>
    <w:rsid w:val="002E3E86"/>
    <w:rsid w:val="002E4434"/>
    <w:rsid w:val="002E47B1"/>
    <w:rsid w:val="002E6138"/>
    <w:rsid w:val="002F0436"/>
    <w:rsid w:val="002F051C"/>
    <w:rsid w:val="002F0AB6"/>
    <w:rsid w:val="002F21A3"/>
    <w:rsid w:val="002F2293"/>
    <w:rsid w:val="002F23D8"/>
    <w:rsid w:val="002F2D6C"/>
    <w:rsid w:val="002F33CB"/>
    <w:rsid w:val="002F36E1"/>
    <w:rsid w:val="002F4C7A"/>
    <w:rsid w:val="002F68E0"/>
    <w:rsid w:val="00300EB1"/>
    <w:rsid w:val="0030345C"/>
    <w:rsid w:val="00303489"/>
    <w:rsid w:val="00304192"/>
    <w:rsid w:val="003050FD"/>
    <w:rsid w:val="003053DF"/>
    <w:rsid w:val="003062F0"/>
    <w:rsid w:val="00310B4A"/>
    <w:rsid w:val="00311CE6"/>
    <w:rsid w:val="00313D5E"/>
    <w:rsid w:val="0031491E"/>
    <w:rsid w:val="00314C01"/>
    <w:rsid w:val="00314E12"/>
    <w:rsid w:val="0031726B"/>
    <w:rsid w:val="003211D7"/>
    <w:rsid w:val="00323BCC"/>
    <w:rsid w:val="00324596"/>
    <w:rsid w:val="003248B6"/>
    <w:rsid w:val="00324996"/>
    <w:rsid w:val="00324E9B"/>
    <w:rsid w:val="0032598F"/>
    <w:rsid w:val="00330000"/>
    <w:rsid w:val="0033134D"/>
    <w:rsid w:val="003332AD"/>
    <w:rsid w:val="003333BF"/>
    <w:rsid w:val="00334A59"/>
    <w:rsid w:val="003358E8"/>
    <w:rsid w:val="003372A4"/>
    <w:rsid w:val="00337332"/>
    <w:rsid w:val="00337A91"/>
    <w:rsid w:val="00337E17"/>
    <w:rsid w:val="00340199"/>
    <w:rsid w:val="00342810"/>
    <w:rsid w:val="00343898"/>
    <w:rsid w:val="003443E3"/>
    <w:rsid w:val="00344E19"/>
    <w:rsid w:val="00345283"/>
    <w:rsid w:val="00345FE0"/>
    <w:rsid w:val="00346235"/>
    <w:rsid w:val="003468C2"/>
    <w:rsid w:val="0035059D"/>
    <w:rsid w:val="00350A2D"/>
    <w:rsid w:val="00351498"/>
    <w:rsid w:val="00351699"/>
    <w:rsid w:val="00351AB3"/>
    <w:rsid w:val="00351D44"/>
    <w:rsid w:val="003543B3"/>
    <w:rsid w:val="00360A94"/>
    <w:rsid w:val="00361189"/>
    <w:rsid w:val="0036332F"/>
    <w:rsid w:val="0036335E"/>
    <w:rsid w:val="00364F8A"/>
    <w:rsid w:val="003650BE"/>
    <w:rsid w:val="00365395"/>
    <w:rsid w:val="003653A3"/>
    <w:rsid w:val="00365749"/>
    <w:rsid w:val="00370675"/>
    <w:rsid w:val="0037067A"/>
    <w:rsid w:val="00371649"/>
    <w:rsid w:val="00373404"/>
    <w:rsid w:val="00373D33"/>
    <w:rsid w:val="00373E8F"/>
    <w:rsid w:val="00374A5D"/>
    <w:rsid w:val="00375343"/>
    <w:rsid w:val="00375869"/>
    <w:rsid w:val="00376E4D"/>
    <w:rsid w:val="003813FE"/>
    <w:rsid w:val="00381AAC"/>
    <w:rsid w:val="00382FCD"/>
    <w:rsid w:val="003859AD"/>
    <w:rsid w:val="00386750"/>
    <w:rsid w:val="003914AB"/>
    <w:rsid w:val="00392956"/>
    <w:rsid w:val="003935E2"/>
    <w:rsid w:val="0039712F"/>
    <w:rsid w:val="003A0BFE"/>
    <w:rsid w:val="003A116F"/>
    <w:rsid w:val="003A287C"/>
    <w:rsid w:val="003A3067"/>
    <w:rsid w:val="003A3CD6"/>
    <w:rsid w:val="003A3E58"/>
    <w:rsid w:val="003A489D"/>
    <w:rsid w:val="003A6759"/>
    <w:rsid w:val="003A6990"/>
    <w:rsid w:val="003B0020"/>
    <w:rsid w:val="003B037C"/>
    <w:rsid w:val="003B12EB"/>
    <w:rsid w:val="003B18AA"/>
    <w:rsid w:val="003B38F2"/>
    <w:rsid w:val="003B4373"/>
    <w:rsid w:val="003B4430"/>
    <w:rsid w:val="003B4DD7"/>
    <w:rsid w:val="003B5957"/>
    <w:rsid w:val="003B784F"/>
    <w:rsid w:val="003C0F89"/>
    <w:rsid w:val="003C1083"/>
    <w:rsid w:val="003C1343"/>
    <w:rsid w:val="003C33E6"/>
    <w:rsid w:val="003C3989"/>
    <w:rsid w:val="003C426F"/>
    <w:rsid w:val="003C4B62"/>
    <w:rsid w:val="003C4D50"/>
    <w:rsid w:val="003C55E4"/>
    <w:rsid w:val="003C64C8"/>
    <w:rsid w:val="003C6AB6"/>
    <w:rsid w:val="003D1526"/>
    <w:rsid w:val="003D203A"/>
    <w:rsid w:val="003D2698"/>
    <w:rsid w:val="003D2DF1"/>
    <w:rsid w:val="003D3691"/>
    <w:rsid w:val="003D439B"/>
    <w:rsid w:val="003D4F7A"/>
    <w:rsid w:val="003D622E"/>
    <w:rsid w:val="003D6A85"/>
    <w:rsid w:val="003D6DB0"/>
    <w:rsid w:val="003D77C1"/>
    <w:rsid w:val="003E00D4"/>
    <w:rsid w:val="003E103E"/>
    <w:rsid w:val="003E2E32"/>
    <w:rsid w:val="003E3362"/>
    <w:rsid w:val="003E33D9"/>
    <w:rsid w:val="003E400C"/>
    <w:rsid w:val="003E45E1"/>
    <w:rsid w:val="003E66FA"/>
    <w:rsid w:val="003E6F69"/>
    <w:rsid w:val="003E7A98"/>
    <w:rsid w:val="003F394C"/>
    <w:rsid w:val="003F3F4D"/>
    <w:rsid w:val="003F3FF5"/>
    <w:rsid w:val="003F5799"/>
    <w:rsid w:val="003F6068"/>
    <w:rsid w:val="003F76B8"/>
    <w:rsid w:val="003F7D53"/>
    <w:rsid w:val="00400544"/>
    <w:rsid w:val="0040064A"/>
    <w:rsid w:val="004010BA"/>
    <w:rsid w:val="00402622"/>
    <w:rsid w:val="0040404E"/>
    <w:rsid w:val="00404371"/>
    <w:rsid w:val="00404BB1"/>
    <w:rsid w:val="00406221"/>
    <w:rsid w:val="00407410"/>
    <w:rsid w:val="0040762D"/>
    <w:rsid w:val="004079A8"/>
    <w:rsid w:val="00407AAB"/>
    <w:rsid w:val="00407B31"/>
    <w:rsid w:val="00407CED"/>
    <w:rsid w:val="004115ED"/>
    <w:rsid w:val="00412D32"/>
    <w:rsid w:val="0041304B"/>
    <w:rsid w:val="00413391"/>
    <w:rsid w:val="00416242"/>
    <w:rsid w:val="0041649B"/>
    <w:rsid w:val="00417AAF"/>
    <w:rsid w:val="004200F0"/>
    <w:rsid w:val="00420603"/>
    <w:rsid w:val="00420733"/>
    <w:rsid w:val="00420A81"/>
    <w:rsid w:val="004210A1"/>
    <w:rsid w:val="0042166F"/>
    <w:rsid w:val="00421E01"/>
    <w:rsid w:val="004247DD"/>
    <w:rsid w:val="00424A25"/>
    <w:rsid w:val="00425586"/>
    <w:rsid w:val="00426158"/>
    <w:rsid w:val="00431857"/>
    <w:rsid w:val="00431DA9"/>
    <w:rsid w:val="00432F51"/>
    <w:rsid w:val="0043432A"/>
    <w:rsid w:val="0043493C"/>
    <w:rsid w:val="00436A7E"/>
    <w:rsid w:val="00436BA9"/>
    <w:rsid w:val="0043779E"/>
    <w:rsid w:val="00440129"/>
    <w:rsid w:val="004405B2"/>
    <w:rsid w:val="00442E06"/>
    <w:rsid w:val="00443673"/>
    <w:rsid w:val="00443BFC"/>
    <w:rsid w:val="004453AB"/>
    <w:rsid w:val="0044588E"/>
    <w:rsid w:val="004458B4"/>
    <w:rsid w:val="00446235"/>
    <w:rsid w:val="00446DF5"/>
    <w:rsid w:val="00446E32"/>
    <w:rsid w:val="004472E5"/>
    <w:rsid w:val="0044749B"/>
    <w:rsid w:val="0044756F"/>
    <w:rsid w:val="00447BBB"/>
    <w:rsid w:val="00451928"/>
    <w:rsid w:val="00452766"/>
    <w:rsid w:val="00453AB7"/>
    <w:rsid w:val="00453C5E"/>
    <w:rsid w:val="00453CF7"/>
    <w:rsid w:val="00456755"/>
    <w:rsid w:val="00462433"/>
    <w:rsid w:val="0046276F"/>
    <w:rsid w:val="00463177"/>
    <w:rsid w:val="00463D36"/>
    <w:rsid w:val="00463D8F"/>
    <w:rsid w:val="00464164"/>
    <w:rsid w:val="00467870"/>
    <w:rsid w:val="00470A6F"/>
    <w:rsid w:val="00470E84"/>
    <w:rsid w:val="004714F9"/>
    <w:rsid w:val="00471ECE"/>
    <w:rsid w:val="004728DD"/>
    <w:rsid w:val="00472B4A"/>
    <w:rsid w:val="00472CC8"/>
    <w:rsid w:val="00473039"/>
    <w:rsid w:val="00476832"/>
    <w:rsid w:val="00477253"/>
    <w:rsid w:val="00477D18"/>
    <w:rsid w:val="00481418"/>
    <w:rsid w:val="00481CCA"/>
    <w:rsid w:val="00483238"/>
    <w:rsid w:val="0048325A"/>
    <w:rsid w:val="00484425"/>
    <w:rsid w:val="00484579"/>
    <w:rsid w:val="0048484A"/>
    <w:rsid w:val="00484881"/>
    <w:rsid w:val="00484906"/>
    <w:rsid w:val="00485EBB"/>
    <w:rsid w:val="00486C84"/>
    <w:rsid w:val="00490BF0"/>
    <w:rsid w:val="00492D6D"/>
    <w:rsid w:val="0049323E"/>
    <w:rsid w:val="00493665"/>
    <w:rsid w:val="00493723"/>
    <w:rsid w:val="00494277"/>
    <w:rsid w:val="00494C63"/>
    <w:rsid w:val="00495733"/>
    <w:rsid w:val="0049720D"/>
    <w:rsid w:val="004976D6"/>
    <w:rsid w:val="004A1653"/>
    <w:rsid w:val="004A32FB"/>
    <w:rsid w:val="004A5DC4"/>
    <w:rsid w:val="004A6892"/>
    <w:rsid w:val="004B0206"/>
    <w:rsid w:val="004B02BC"/>
    <w:rsid w:val="004B06A9"/>
    <w:rsid w:val="004B142D"/>
    <w:rsid w:val="004B1563"/>
    <w:rsid w:val="004B1BCC"/>
    <w:rsid w:val="004B2AF5"/>
    <w:rsid w:val="004B6FEC"/>
    <w:rsid w:val="004C2A40"/>
    <w:rsid w:val="004C369E"/>
    <w:rsid w:val="004C5E0E"/>
    <w:rsid w:val="004C5FD7"/>
    <w:rsid w:val="004C611B"/>
    <w:rsid w:val="004C6748"/>
    <w:rsid w:val="004D108D"/>
    <w:rsid w:val="004D126D"/>
    <w:rsid w:val="004D253B"/>
    <w:rsid w:val="004D2804"/>
    <w:rsid w:val="004D30BA"/>
    <w:rsid w:val="004D39F0"/>
    <w:rsid w:val="004D3C22"/>
    <w:rsid w:val="004D71E7"/>
    <w:rsid w:val="004D7200"/>
    <w:rsid w:val="004E0C59"/>
    <w:rsid w:val="004E26B2"/>
    <w:rsid w:val="004E2C3A"/>
    <w:rsid w:val="004E2EF5"/>
    <w:rsid w:val="004E362B"/>
    <w:rsid w:val="004E36BA"/>
    <w:rsid w:val="004E5567"/>
    <w:rsid w:val="004E6906"/>
    <w:rsid w:val="004E6965"/>
    <w:rsid w:val="004E69E2"/>
    <w:rsid w:val="004F0E8D"/>
    <w:rsid w:val="004F14BC"/>
    <w:rsid w:val="004F1605"/>
    <w:rsid w:val="004F4386"/>
    <w:rsid w:val="004F45E0"/>
    <w:rsid w:val="004F480E"/>
    <w:rsid w:val="004F5EDB"/>
    <w:rsid w:val="004F656E"/>
    <w:rsid w:val="004F6770"/>
    <w:rsid w:val="004F6A6B"/>
    <w:rsid w:val="00501B3A"/>
    <w:rsid w:val="0050220D"/>
    <w:rsid w:val="00502868"/>
    <w:rsid w:val="00503429"/>
    <w:rsid w:val="00503803"/>
    <w:rsid w:val="00503C50"/>
    <w:rsid w:val="00504374"/>
    <w:rsid w:val="005045D1"/>
    <w:rsid w:val="00506130"/>
    <w:rsid w:val="005061B1"/>
    <w:rsid w:val="0050702F"/>
    <w:rsid w:val="00511983"/>
    <w:rsid w:val="005121E7"/>
    <w:rsid w:val="005130DC"/>
    <w:rsid w:val="00515603"/>
    <w:rsid w:val="00517644"/>
    <w:rsid w:val="005179EE"/>
    <w:rsid w:val="005203DB"/>
    <w:rsid w:val="005215A4"/>
    <w:rsid w:val="00523298"/>
    <w:rsid w:val="005233D5"/>
    <w:rsid w:val="005233ED"/>
    <w:rsid w:val="0052375C"/>
    <w:rsid w:val="0052563E"/>
    <w:rsid w:val="0052727D"/>
    <w:rsid w:val="0053090C"/>
    <w:rsid w:val="0053124E"/>
    <w:rsid w:val="00531684"/>
    <w:rsid w:val="00531A96"/>
    <w:rsid w:val="0053281F"/>
    <w:rsid w:val="00532E5C"/>
    <w:rsid w:val="00534394"/>
    <w:rsid w:val="00535C91"/>
    <w:rsid w:val="00536B38"/>
    <w:rsid w:val="00536D1B"/>
    <w:rsid w:val="0053710F"/>
    <w:rsid w:val="00537424"/>
    <w:rsid w:val="005376F6"/>
    <w:rsid w:val="00540A37"/>
    <w:rsid w:val="0054279A"/>
    <w:rsid w:val="0054336A"/>
    <w:rsid w:val="005435D7"/>
    <w:rsid w:val="00544E51"/>
    <w:rsid w:val="00544FD6"/>
    <w:rsid w:val="00551122"/>
    <w:rsid w:val="0055220D"/>
    <w:rsid w:val="00552440"/>
    <w:rsid w:val="005531BD"/>
    <w:rsid w:val="00553999"/>
    <w:rsid w:val="00554593"/>
    <w:rsid w:val="00555DB2"/>
    <w:rsid w:val="00556013"/>
    <w:rsid w:val="00556915"/>
    <w:rsid w:val="00556A62"/>
    <w:rsid w:val="00556BA7"/>
    <w:rsid w:val="00560C42"/>
    <w:rsid w:val="00564407"/>
    <w:rsid w:val="005649F5"/>
    <w:rsid w:val="00566D16"/>
    <w:rsid w:val="00566DA1"/>
    <w:rsid w:val="005673D2"/>
    <w:rsid w:val="00571086"/>
    <w:rsid w:val="00571783"/>
    <w:rsid w:val="005717EB"/>
    <w:rsid w:val="00572FF1"/>
    <w:rsid w:val="0057493B"/>
    <w:rsid w:val="00574944"/>
    <w:rsid w:val="00576958"/>
    <w:rsid w:val="00580DC1"/>
    <w:rsid w:val="00581E0E"/>
    <w:rsid w:val="005827B0"/>
    <w:rsid w:val="005834DD"/>
    <w:rsid w:val="00583B28"/>
    <w:rsid w:val="00584916"/>
    <w:rsid w:val="00586AF3"/>
    <w:rsid w:val="005874F9"/>
    <w:rsid w:val="00587899"/>
    <w:rsid w:val="005904EC"/>
    <w:rsid w:val="00590BC5"/>
    <w:rsid w:val="00590DA4"/>
    <w:rsid w:val="00593DD2"/>
    <w:rsid w:val="00594125"/>
    <w:rsid w:val="00594C20"/>
    <w:rsid w:val="00595209"/>
    <w:rsid w:val="00596BE8"/>
    <w:rsid w:val="00597852"/>
    <w:rsid w:val="005A05E3"/>
    <w:rsid w:val="005A1D67"/>
    <w:rsid w:val="005A1DF1"/>
    <w:rsid w:val="005A539E"/>
    <w:rsid w:val="005A56FF"/>
    <w:rsid w:val="005A59F8"/>
    <w:rsid w:val="005A734C"/>
    <w:rsid w:val="005A76F9"/>
    <w:rsid w:val="005A7C95"/>
    <w:rsid w:val="005B10C9"/>
    <w:rsid w:val="005B1AD4"/>
    <w:rsid w:val="005B348A"/>
    <w:rsid w:val="005B4151"/>
    <w:rsid w:val="005B4D74"/>
    <w:rsid w:val="005B4DC1"/>
    <w:rsid w:val="005B4FBB"/>
    <w:rsid w:val="005B56AB"/>
    <w:rsid w:val="005B5D1C"/>
    <w:rsid w:val="005B694B"/>
    <w:rsid w:val="005B78FE"/>
    <w:rsid w:val="005C0A3B"/>
    <w:rsid w:val="005C2797"/>
    <w:rsid w:val="005C2859"/>
    <w:rsid w:val="005C374D"/>
    <w:rsid w:val="005C464C"/>
    <w:rsid w:val="005C4FB3"/>
    <w:rsid w:val="005D012E"/>
    <w:rsid w:val="005D0192"/>
    <w:rsid w:val="005D0C04"/>
    <w:rsid w:val="005D1A95"/>
    <w:rsid w:val="005D1B24"/>
    <w:rsid w:val="005D2824"/>
    <w:rsid w:val="005D34AF"/>
    <w:rsid w:val="005D3531"/>
    <w:rsid w:val="005D5557"/>
    <w:rsid w:val="005D5A89"/>
    <w:rsid w:val="005D6172"/>
    <w:rsid w:val="005D6C54"/>
    <w:rsid w:val="005D7180"/>
    <w:rsid w:val="005D78CF"/>
    <w:rsid w:val="005E1032"/>
    <w:rsid w:val="005E4B47"/>
    <w:rsid w:val="005E64AA"/>
    <w:rsid w:val="005E6C61"/>
    <w:rsid w:val="005E724F"/>
    <w:rsid w:val="005E7325"/>
    <w:rsid w:val="005F0F51"/>
    <w:rsid w:val="005F21F7"/>
    <w:rsid w:val="005F28FC"/>
    <w:rsid w:val="005F2C8D"/>
    <w:rsid w:val="005F38C4"/>
    <w:rsid w:val="005F3A25"/>
    <w:rsid w:val="005F7474"/>
    <w:rsid w:val="006003A4"/>
    <w:rsid w:val="00600C55"/>
    <w:rsid w:val="00600F63"/>
    <w:rsid w:val="00601631"/>
    <w:rsid w:val="00601920"/>
    <w:rsid w:val="00601AE5"/>
    <w:rsid w:val="00602604"/>
    <w:rsid w:val="0060547D"/>
    <w:rsid w:val="00605524"/>
    <w:rsid w:val="006056CC"/>
    <w:rsid w:val="00607995"/>
    <w:rsid w:val="00607AEE"/>
    <w:rsid w:val="00611C2B"/>
    <w:rsid w:val="00612C6C"/>
    <w:rsid w:val="00615351"/>
    <w:rsid w:val="00615AC5"/>
    <w:rsid w:val="006164D2"/>
    <w:rsid w:val="006165A0"/>
    <w:rsid w:val="006176B4"/>
    <w:rsid w:val="00617E42"/>
    <w:rsid w:val="00620871"/>
    <w:rsid w:val="006222F2"/>
    <w:rsid w:val="0062430B"/>
    <w:rsid w:val="00624369"/>
    <w:rsid w:val="00625344"/>
    <w:rsid w:val="0063022B"/>
    <w:rsid w:val="00631C71"/>
    <w:rsid w:val="00633B97"/>
    <w:rsid w:val="00637260"/>
    <w:rsid w:val="0064015B"/>
    <w:rsid w:val="006417EC"/>
    <w:rsid w:val="00642B29"/>
    <w:rsid w:val="00643115"/>
    <w:rsid w:val="00643FA5"/>
    <w:rsid w:val="0064494F"/>
    <w:rsid w:val="00645720"/>
    <w:rsid w:val="00645B06"/>
    <w:rsid w:val="0064662F"/>
    <w:rsid w:val="00646F54"/>
    <w:rsid w:val="00647137"/>
    <w:rsid w:val="006472E3"/>
    <w:rsid w:val="0065018B"/>
    <w:rsid w:val="00650D06"/>
    <w:rsid w:val="00651C7D"/>
    <w:rsid w:val="00651F18"/>
    <w:rsid w:val="00652468"/>
    <w:rsid w:val="00652974"/>
    <w:rsid w:val="00654C1C"/>
    <w:rsid w:val="006565A4"/>
    <w:rsid w:val="00656C65"/>
    <w:rsid w:val="00656C83"/>
    <w:rsid w:val="006605F4"/>
    <w:rsid w:val="00660835"/>
    <w:rsid w:val="00660D15"/>
    <w:rsid w:val="00660F66"/>
    <w:rsid w:val="006611C2"/>
    <w:rsid w:val="006620B5"/>
    <w:rsid w:val="006626F8"/>
    <w:rsid w:val="006629A6"/>
    <w:rsid w:val="00666890"/>
    <w:rsid w:val="00667A59"/>
    <w:rsid w:val="00667B74"/>
    <w:rsid w:val="00667D94"/>
    <w:rsid w:val="00670BA2"/>
    <w:rsid w:val="00671673"/>
    <w:rsid w:val="00671C86"/>
    <w:rsid w:val="00672545"/>
    <w:rsid w:val="00672801"/>
    <w:rsid w:val="00672F79"/>
    <w:rsid w:val="006733E0"/>
    <w:rsid w:val="0067399B"/>
    <w:rsid w:val="00675520"/>
    <w:rsid w:val="00676667"/>
    <w:rsid w:val="00676D89"/>
    <w:rsid w:val="0067710B"/>
    <w:rsid w:val="0067737B"/>
    <w:rsid w:val="00680FB9"/>
    <w:rsid w:val="00683637"/>
    <w:rsid w:val="00683BE1"/>
    <w:rsid w:val="00684AD5"/>
    <w:rsid w:val="0068628F"/>
    <w:rsid w:val="006870FC"/>
    <w:rsid w:val="00687AA3"/>
    <w:rsid w:val="00687B5D"/>
    <w:rsid w:val="00687DC5"/>
    <w:rsid w:val="006908D7"/>
    <w:rsid w:val="006920B1"/>
    <w:rsid w:val="00694952"/>
    <w:rsid w:val="00694A91"/>
    <w:rsid w:val="00694E80"/>
    <w:rsid w:val="00695739"/>
    <w:rsid w:val="00695AA5"/>
    <w:rsid w:val="00697FAA"/>
    <w:rsid w:val="006A067D"/>
    <w:rsid w:val="006A3BA9"/>
    <w:rsid w:val="006A43EF"/>
    <w:rsid w:val="006A5612"/>
    <w:rsid w:val="006A6500"/>
    <w:rsid w:val="006B1A9A"/>
    <w:rsid w:val="006B201C"/>
    <w:rsid w:val="006B2BB5"/>
    <w:rsid w:val="006B2DEE"/>
    <w:rsid w:val="006B3DD8"/>
    <w:rsid w:val="006B3EF0"/>
    <w:rsid w:val="006B65B2"/>
    <w:rsid w:val="006B6D8C"/>
    <w:rsid w:val="006C29AB"/>
    <w:rsid w:val="006C2DA5"/>
    <w:rsid w:val="006C36CB"/>
    <w:rsid w:val="006C63BE"/>
    <w:rsid w:val="006C69E9"/>
    <w:rsid w:val="006C6BBC"/>
    <w:rsid w:val="006D1565"/>
    <w:rsid w:val="006D4A11"/>
    <w:rsid w:val="006D4F6F"/>
    <w:rsid w:val="006D566D"/>
    <w:rsid w:val="006D6821"/>
    <w:rsid w:val="006D6FDF"/>
    <w:rsid w:val="006D7275"/>
    <w:rsid w:val="006E025E"/>
    <w:rsid w:val="006E07C4"/>
    <w:rsid w:val="006E0BB4"/>
    <w:rsid w:val="006E0F14"/>
    <w:rsid w:val="006E41E7"/>
    <w:rsid w:val="006E57DE"/>
    <w:rsid w:val="006E5D0E"/>
    <w:rsid w:val="006E6C39"/>
    <w:rsid w:val="006F0183"/>
    <w:rsid w:val="006F20A5"/>
    <w:rsid w:val="006F285E"/>
    <w:rsid w:val="006F2F08"/>
    <w:rsid w:val="006F3EBC"/>
    <w:rsid w:val="006F476D"/>
    <w:rsid w:val="006F5809"/>
    <w:rsid w:val="006F6ADE"/>
    <w:rsid w:val="006F778D"/>
    <w:rsid w:val="006F7F3B"/>
    <w:rsid w:val="0070248C"/>
    <w:rsid w:val="00702DA0"/>
    <w:rsid w:val="0070310C"/>
    <w:rsid w:val="00703170"/>
    <w:rsid w:val="00704E07"/>
    <w:rsid w:val="00705E60"/>
    <w:rsid w:val="00706AA4"/>
    <w:rsid w:val="00707487"/>
    <w:rsid w:val="00707880"/>
    <w:rsid w:val="0071366C"/>
    <w:rsid w:val="00713922"/>
    <w:rsid w:val="00714CD4"/>
    <w:rsid w:val="00715363"/>
    <w:rsid w:val="0071566D"/>
    <w:rsid w:val="0071596F"/>
    <w:rsid w:val="00715D0B"/>
    <w:rsid w:val="00715ED3"/>
    <w:rsid w:val="00715FDC"/>
    <w:rsid w:val="00716C25"/>
    <w:rsid w:val="0071730F"/>
    <w:rsid w:val="0071742D"/>
    <w:rsid w:val="0071747F"/>
    <w:rsid w:val="00717CF0"/>
    <w:rsid w:val="00720202"/>
    <w:rsid w:val="00720951"/>
    <w:rsid w:val="00720E74"/>
    <w:rsid w:val="00721397"/>
    <w:rsid w:val="00721EDF"/>
    <w:rsid w:val="00723577"/>
    <w:rsid w:val="0072385A"/>
    <w:rsid w:val="00723D0A"/>
    <w:rsid w:val="00724495"/>
    <w:rsid w:val="0072475B"/>
    <w:rsid w:val="0072591F"/>
    <w:rsid w:val="00727FBB"/>
    <w:rsid w:val="007303BA"/>
    <w:rsid w:val="00730A18"/>
    <w:rsid w:val="00731D9A"/>
    <w:rsid w:val="0073275B"/>
    <w:rsid w:val="00732C17"/>
    <w:rsid w:val="00733B4F"/>
    <w:rsid w:val="00734348"/>
    <w:rsid w:val="00734D93"/>
    <w:rsid w:val="00735A5D"/>
    <w:rsid w:val="00735EBA"/>
    <w:rsid w:val="007364EE"/>
    <w:rsid w:val="00737065"/>
    <w:rsid w:val="007401B7"/>
    <w:rsid w:val="0074185E"/>
    <w:rsid w:val="00741BF5"/>
    <w:rsid w:val="00742B9A"/>
    <w:rsid w:val="00743107"/>
    <w:rsid w:val="007441EE"/>
    <w:rsid w:val="0074649C"/>
    <w:rsid w:val="00746501"/>
    <w:rsid w:val="0074665B"/>
    <w:rsid w:val="0074761A"/>
    <w:rsid w:val="00750084"/>
    <w:rsid w:val="00751B01"/>
    <w:rsid w:val="00751FC0"/>
    <w:rsid w:val="00752122"/>
    <w:rsid w:val="00752E5E"/>
    <w:rsid w:val="0075351F"/>
    <w:rsid w:val="0075375A"/>
    <w:rsid w:val="00753BF5"/>
    <w:rsid w:val="007541FD"/>
    <w:rsid w:val="00756CD2"/>
    <w:rsid w:val="00756ED2"/>
    <w:rsid w:val="007575BB"/>
    <w:rsid w:val="0075783F"/>
    <w:rsid w:val="00757F64"/>
    <w:rsid w:val="007604FE"/>
    <w:rsid w:val="00763E44"/>
    <w:rsid w:val="0076507F"/>
    <w:rsid w:val="0076535E"/>
    <w:rsid w:val="00765592"/>
    <w:rsid w:val="00765BC7"/>
    <w:rsid w:val="007663A9"/>
    <w:rsid w:val="0076666F"/>
    <w:rsid w:val="00766920"/>
    <w:rsid w:val="00767091"/>
    <w:rsid w:val="0076776C"/>
    <w:rsid w:val="007679FC"/>
    <w:rsid w:val="007704C6"/>
    <w:rsid w:val="007704E7"/>
    <w:rsid w:val="007708E5"/>
    <w:rsid w:val="00770F58"/>
    <w:rsid w:val="007726C3"/>
    <w:rsid w:val="00773C6F"/>
    <w:rsid w:val="00774D14"/>
    <w:rsid w:val="00774E9B"/>
    <w:rsid w:val="00774ECF"/>
    <w:rsid w:val="0077541E"/>
    <w:rsid w:val="0077542C"/>
    <w:rsid w:val="00775519"/>
    <w:rsid w:val="00775805"/>
    <w:rsid w:val="0077681E"/>
    <w:rsid w:val="00776CD7"/>
    <w:rsid w:val="007770EC"/>
    <w:rsid w:val="00777CF2"/>
    <w:rsid w:val="00782451"/>
    <w:rsid w:val="00785476"/>
    <w:rsid w:val="00785DB7"/>
    <w:rsid w:val="00786854"/>
    <w:rsid w:val="00790F93"/>
    <w:rsid w:val="007910FC"/>
    <w:rsid w:val="00791CF6"/>
    <w:rsid w:val="00794F27"/>
    <w:rsid w:val="0079764C"/>
    <w:rsid w:val="007A3E11"/>
    <w:rsid w:val="007A56B4"/>
    <w:rsid w:val="007B1589"/>
    <w:rsid w:val="007B243E"/>
    <w:rsid w:val="007B2557"/>
    <w:rsid w:val="007B3B46"/>
    <w:rsid w:val="007B3B66"/>
    <w:rsid w:val="007B4A68"/>
    <w:rsid w:val="007B4DC4"/>
    <w:rsid w:val="007B636B"/>
    <w:rsid w:val="007C0386"/>
    <w:rsid w:val="007C0742"/>
    <w:rsid w:val="007C13CA"/>
    <w:rsid w:val="007C1871"/>
    <w:rsid w:val="007C1BE2"/>
    <w:rsid w:val="007C28A2"/>
    <w:rsid w:val="007C2A38"/>
    <w:rsid w:val="007C3531"/>
    <w:rsid w:val="007C4EA4"/>
    <w:rsid w:val="007C60BA"/>
    <w:rsid w:val="007C6334"/>
    <w:rsid w:val="007C6DC4"/>
    <w:rsid w:val="007C71CD"/>
    <w:rsid w:val="007C7A07"/>
    <w:rsid w:val="007D09DB"/>
    <w:rsid w:val="007D2C71"/>
    <w:rsid w:val="007D2F2F"/>
    <w:rsid w:val="007D30C9"/>
    <w:rsid w:val="007D56CA"/>
    <w:rsid w:val="007D6FE6"/>
    <w:rsid w:val="007E0AFB"/>
    <w:rsid w:val="007E228B"/>
    <w:rsid w:val="007E23BE"/>
    <w:rsid w:val="007E2498"/>
    <w:rsid w:val="007E4FB8"/>
    <w:rsid w:val="007E5043"/>
    <w:rsid w:val="007E6016"/>
    <w:rsid w:val="007E6837"/>
    <w:rsid w:val="007E7865"/>
    <w:rsid w:val="007F1B9C"/>
    <w:rsid w:val="007F2A19"/>
    <w:rsid w:val="007F2FF4"/>
    <w:rsid w:val="007F3924"/>
    <w:rsid w:val="007F4929"/>
    <w:rsid w:val="007F62FA"/>
    <w:rsid w:val="007F63D6"/>
    <w:rsid w:val="007F63D8"/>
    <w:rsid w:val="007F7119"/>
    <w:rsid w:val="007F75B0"/>
    <w:rsid w:val="008005AE"/>
    <w:rsid w:val="00801E16"/>
    <w:rsid w:val="00803781"/>
    <w:rsid w:val="008043FC"/>
    <w:rsid w:val="008049C3"/>
    <w:rsid w:val="00807F0A"/>
    <w:rsid w:val="00807F3A"/>
    <w:rsid w:val="00807F4A"/>
    <w:rsid w:val="0081056A"/>
    <w:rsid w:val="0081085F"/>
    <w:rsid w:val="00810E95"/>
    <w:rsid w:val="00812AD1"/>
    <w:rsid w:val="008132B7"/>
    <w:rsid w:val="00813865"/>
    <w:rsid w:val="00813A44"/>
    <w:rsid w:val="00814AB2"/>
    <w:rsid w:val="008201F8"/>
    <w:rsid w:val="008207ED"/>
    <w:rsid w:val="00820A9A"/>
    <w:rsid w:val="008226D4"/>
    <w:rsid w:val="00822C4D"/>
    <w:rsid w:val="008238AA"/>
    <w:rsid w:val="008238E4"/>
    <w:rsid w:val="00823F91"/>
    <w:rsid w:val="008241DE"/>
    <w:rsid w:val="00825842"/>
    <w:rsid w:val="008260A6"/>
    <w:rsid w:val="008277A9"/>
    <w:rsid w:val="00827F84"/>
    <w:rsid w:val="008300E6"/>
    <w:rsid w:val="00830FBF"/>
    <w:rsid w:val="00831C77"/>
    <w:rsid w:val="008329F0"/>
    <w:rsid w:val="00832ADD"/>
    <w:rsid w:val="00832ECC"/>
    <w:rsid w:val="008330E2"/>
    <w:rsid w:val="0083316E"/>
    <w:rsid w:val="00833576"/>
    <w:rsid w:val="008347F3"/>
    <w:rsid w:val="0083667F"/>
    <w:rsid w:val="00836EC8"/>
    <w:rsid w:val="00837122"/>
    <w:rsid w:val="00837E94"/>
    <w:rsid w:val="008406C6"/>
    <w:rsid w:val="00841F4B"/>
    <w:rsid w:val="00842EB2"/>
    <w:rsid w:val="008436F5"/>
    <w:rsid w:val="00843DE3"/>
    <w:rsid w:val="00844A36"/>
    <w:rsid w:val="00844A86"/>
    <w:rsid w:val="008456DD"/>
    <w:rsid w:val="00847DC9"/>
    <w:rsid w:val="0085059E"/>
    <w:rsid w:val="0085153E"/>
    <w:rsid w:val="00851982"/>
    <w:rsid w:val="00852668"/>
    <w:rsid w:val="008536F7"/>
    <w:rsid w:val="00854970"/>
    <w:rsid w:val="008558EA"/>
    <w:rsid w:val="008559C5"/>
    <w:rsid w:val="00857F15"/>
    <w:rsid w:val="00860134"/>
    <w:rsid w:val="008628C6"/>
    <w:rsid w:val="008635E5"/>
    <w:rsid w:val="008639FB"/>
    <w:rsid w:val="00866336"/>
    <w:rsid w:val="00866633"/>
    <w:rsid w:val="0086755D"/>
    <w:rsid w:val="00867B5C"/>
    <w:rsid w:val="00870171"/>
    <w:rsid w:val="00870180"/>
    <w:rsid w:val="00870D61"/>
    <w:rsid w:val="00871384"/>
    <w:rsid w:val="00871BC0"/>
    <w:rsid w:val="00872005"/>
    <w:rsid w:val="008739BA"/>
    <w:rsid w:val="00874957"/>
    <w:rsid w:val="00874A63"/>
    <w:rsid w:val="00874A6C"/>
    <w:rsid w:val="00874C3C"/>
    <w:rsid w:val="008750EB"/>
    <w:rsid w:val="008756CE"/>
    <w:rsid w:val="00875DBA"/>
    <w:rsid w:val="00877195"/>
    <w:rsid w:val="008772DB"/>
    <w:rsid w:val="00877DB0"/>
    <w:rsid w:val="008815A8"/>
    <w:rsid w:val="00881AFA"/>
    <w:rsid w:val="0088232C"/>
    <w:rsid w:val="0088242D"/>
    <w:rsid w:val="00882D8E"/>
    <w:rsid w:val="008841B8"/>
    <w:rsid w:val="008849AD"/>
    <w:rsid w:val="00885B39"/>
    <w:rsid w:val="0088669F"/>
    <w:rsid w:val="00886FCF"/>
    <w:rsid w:val="0088763B"/>
    <w:rsid w:val="00890A19"/>
    <w:rsid w:val="00891998"/>
    <w:rsid w:val="00892418"/>
    <w:rsid w:val="00892C6E"/>
    <w:rsid w:val="00892C92"/>
    <w:rsid w:val="008930C5"/>
    <w:rsid w:val="00894C1C"/>
    <w:rsid w:val="00895027"/>
    <w:rsid w:val="008969FD"/>
    <w:rsid w:val="00897D79"/>
    <w:rsid w:val="00897E25"/>
    <w:rsid w:val="008A00B0"/>
    <w:rsid w:val="008A04A3"/>
    <w:rsid w:val="008A0F8F"/>
    <w:rsid w:val="008A27F7"/>
    <w:rsid w:val="008A2F92"/>
    <w:rsid w:val="008A44D0"/>
    <w:rsid w:val="008A7DEF"/>
    <w:rsid w:val="008B0106"/>
    <w:rsid w:val="008B09B5"/>
    <w:rsid w:val="008B1764"/>
    <w:rsid w:val="008B1A7E"/>
    <w:rsid w:val="008B510C"/>
    <w:rsid w:val="008B66A0"/>
    <w:rsid w:val="008B6A9B"/>
    <w:rsid w:val="008B77E1"/>
    <w:rsid w:val="008C0DBC"/>
    <w:rsid w:val="008C1F16"/>
    <w:rsid w:val="008C2584"/>
    <w:rsid w:val="008C30CE"/>
    <w:rsid w:val="008C3636"/>
    <w:rsid w:val="008C3E0A"/>
    <w:rsid w:val="008C5C73"/>
    <w:rsid w:val="008C5D1E"/>
    <w:rsid w:val="008C5D51"/>
    <w:rsid w:val="008C6234"/>
    <w:rsid w:val="008C7235"/>
    <w:rsid w:val="008D1086"/>
    <w:rsid w:val="008D2058"/>
    <w:rsid w:val="008D29FD"/>
    <w:rsid w:val="008D2F05"/>
    <w:rsid w:val="008D34A6"/>
    <w:rsid w:val="008D43C8"/>
    <w:rsid w:val="008D47DA"/>
    <w:rsid w:val="008D5221"/>
    <w:rsid w:val="008D528E"/>
    <w:rsid w:val="008D634E"/>
    <w:rsid w:val="008D65A8"/>
    <w:rsid w:val="008D73A3"/>
    <w:rsid w:val="008D7796"/>
    <w:rsid w:val="008E0469"/>
    <w:rsid w:val="008E1876"/>
    <w:rsid w:val="008E2558"/>
    <w:rsid w:val="008E2D55"/>
    <w:rsid w:val="008E4640"/>
    <w:rsid w:val="008E4EF7"/>
    <w:rsid w:val="008E4F25"/>
    <w:rsid w:val="008E69C5"/>
    <w:rsid w:val="008F04AE"/>
    <w:rsid w:val="008F0ED5"/>
    <w:rsid w:val="008F176A"/>
    <w:rsid w:val="008F2240"/>
    <w:rsid w:val="008F33C9"/>
    <w:rsid w:val="008F35AA"/>
    <w:rsid w:val="008F3CBD"/>
    <w:rsid w:val="008F3FE9"/>
    <w:rsid w:val="008F57B9"/>
    <w:rsid w:val="008F5DD8"/>
    <w:rsid w:val="008F63E1"/>
    <w:rsid w:val="008F6E87"/>
    <w:rsid w:val="00901630"/>
    <w:rsid w:val="0090318F"/>
    <w:rsid w:val="009031EF"/>
    <w:rsid w:val="009032EB"/>
    <w:rsid w:val="00905C85"/>
    <w:rsid w:val="0090663B"/>
    <w:rsid w:val="00906923"/>
    <w:rsid w:val="00907F4A"/>
    <w:rsid w:val="00910EDD"/>
    <w:rsid w:val="009125D8"/>
    <w:rsid w:val="00912BFC"/>
    <w:rsid w:val="00913668"/>
    <w:rsid w:val="00914439"/>
    <w:rsid w:val="009149BD"/>
    <w:rsid w:val="00914D5F"/>
    <w:rsid w:val="00915767"/>
    <w:rsid w:val="00915893"/>
    <w:rsid w:val="00915F29"/>
    <w:rsid w:val="00917D37"/>
    <w:rsid w:val="00922E10"/>
    <w:rsid w:val="0092304F"/>
    <w:rsid w:val="009233AA"/>
    <w:rsid w:val="009249FE"/>
    <w:rsid w:val="0092655F"/>
    <w:rsid w:val="009274A7"/>
    <w:rsid w:val="009309AC"/>
    <w:rsid w:val="00930CDC"/>
    <w:rsid w:val="00932376"/>
    <w:rsid w:val="00932855"/>
    <w:rsid w:val="00932EF9"/>
    <w:rsid w:val="0093382B"/>
    <w:rsid w:val="00933901"/>
    <w:rsid w:val="00933B8E"/>
    <w:rsid w:val="009348B6"/>
    <w:rsid w:val="00934BDB"/>
    <w:rsid w:val="00934BF8"/>
    <w:rsid w:val="00934DBF"/>
    <w:rsid w:val="009350BC"/>
    <w:rsid w:val="0093669E"/>
    <w:rsid w:val="00936B1D"/>
    <w:rsid w:val="0093784A"/>
    <w:rsid w:val="00940CBC"/>
    <w:rsid w:val="00940CF8"/>
    <w:rsid w:val="00942338"/>
    <w:rsid w:val="00942396"/>
    <w:rsid w:val="00945663"/>
    <w:rsid w:val="009459F9"/>
    <w:rsid w:val="0094607E"/>
    <w:rsid w:val="00946687"/>
    <w:rsid w:val="009503D9"/>
    <w:rsid w:val="00951609"/>
    <w:rsid w:val="00954EE9"/>
    <w:rsid w:val="009558CE"/>
    <w:rsid w:val="009565B1"/>
    <w:rsid w:val="009566E2"/>
    <w:rsid w:val="009568C5"/>
    <w:rsid w:val="00957F89"/>
    <w:rsid w:val="00960DAB"/>
    <w:rsid w:val="00962808"/>
    <w:rsid w:val="009633B5"/>
    <w:rsid w:val="0096343E"/>
    <w:rsid w:val="00963623"/>
    <w:rsid w:val="00963C35"/>
    <w:rsid w:val="00965A5E"/>
    <w:rsid w:val="00965C70"/>
    <w:rsid w:val="0097054B"/>
    <w:rsid w:val="009714E0"/>
    <w:rsid w:val="00971A17"/>
    <w:rsid w:val="009725DF"/>
    <w:rsid w:val="0097329C"/>
    <w:rsid w:val="0097393E"/>
    <w:rsid w:val="00975593"/>
    <w:rsid w:val="00980763"/>
    <w:rsid w:val="009817A0"/>
    <w:rsid w:val="00981D7C"/>
    <w:rsid w:val="0098277F"/>
    <w:rsid w:val="00982C24"/>
    <w:rsid w:val="00982D90"/>
    <w:rsid w:val="00983015"/>
    <w:rsid w:val="009834B1"/>
    <w:rsid w:val="0098383E"/>
    <w:rsid w:val="009841D1"/>
    <w:rsid w:val="00985766"/>
    <w:rsid w:val="009902A8"/>
    <w:rsid w:val="00990646"/>
    <w:rsid w:val="00993E89"/>
    <w:rsid w:val="009959E7"/>
    <w:rsid w:val="00995A4A"/>
    <w:rsid w:val="00995EDB"/>
    <w:rsid w:val="0099703E"/>
    <w:rsid w:val="009A18DC"/>
    <w:rsid w:val="009A1D75"/>
    <w:rsid w:val="009A3011"/>
    <w:rsid w:val="009A3581"/>
    <w:rsid w:val="009A38C5"/>
    <w:rsid w:val="009A6CBF"/>
    <w:rsid w:val="009A7D4D"/>
    <w:rsid w:val="009B0026"/>
    <w:rsid w:val="009B0753"/>
    <w:rsid w:val="009B0925"/>
    <w:rsid w:val="009B12A9"/>
    <w:rsid w:val="009B2002"/>
    <w:rsid w:val="009B23D9"/>
    <w:rsid w:val="009B29C8"/>
    <w:rsid w:val="009B60DC"/>
    <w:rsid w:val="009B66D7"/>
    <w:rsid w:val="009B699E"/>
    <w:rsid w:val="009B7877"/>
    <w:rsid w:val="009B7E5F"/>
    <w:rsid w:val="009C0BED"/>
    <w:rsid w:val="009C144C"/>
    <w:rsid w:val="009C1B5A"/>
    <w:rsid w:val="009C47F1"/>
    <w:rsid w:val="009C58E4"/>
    <w:rsid w:val="009C62C3"/>
    <w:rsid w:val="009D0B63"/>
    <w:rsid w:val="009D2ECB"/>
    <w:rsid w:val="009D3433"/>
    <w:rsid w:val="009D7AAA"/>
    <w:rsid w:val="009E076A"/>
    <w:rsid w:val="009E228E"/>
    <w:rsid w:val="009E22B3"/>
    <w:rsid w:val="009E51C1"/>
    <w:rsid w:val="009E584B"/>
    <w:rsid w:val="009F0D1A"/>
    <w:rsid w:val="009F430F"/>
    <w:rsid w:val="009F5E95"/>
    <w:rsid w:val="009F6B16"/>
    <w:rsid w:val="009F6C53"/>
    <w:rsid w:val="009F7748"/>
    <w:rsid w:val="009F7AE9"/>
    <w:rsid w:val="00A01F34"/>
    <w:rsid w:val="00A032C7"/>
    <w:rsid w:val="00A03F30"/>
    <w:rsid w:val="00A03F44"/>
    <w:rsid w:val="00A03F52"/>
    <w:rsid w:val="00A05F76"/>
    <w:rsid w:val="00A0617A"/>
    <w:rsid w:val="00A06AEA"/>
    <w:rsid w:val="00A07238"/>
    <w:rsid w:val="00A1036A"/>
    <w:rsid w:val="00A10BD0"/>
    <w:rsid w:val="00A11503"/>
    <w:rsid w:val="00A1214B"/>
    <w:rsid w:val="00A13ACC"/>
    <w:rsid w:val="00A14AA6"/>
    <w:rsid w:val="00A160E3"/>
    <w:rsid w:val="00A226F5"/>
    <w:rsid w:val="00A22C98"/>
    <w:rsid w:val="00A23904"/>
    <w:rsid w:val="00A24E59"/>
    <w:rsid w:val="00A24F79"/>
    <w:rsid w:val="00A2562D"/>
    <w:rsid w:val="00A25B7A"/>
    <w:rsid w:val="00A26436"/>
    <w:rsid w:val="00A26C12"/>
    <w:rsid w:val="00A27651"/>
    <w:rsid w:val="00A30E1C"/>
    <w:rsid w:val="00A321B1"/>
    <w:rsid w:val="00A326B8"/>
    <w:rsid w:val="00A33876"/>
    <w:rsid w:val="00A3410E"/>
    <w:rsid w:val="00A34D66"/>
    <w:rsid w:val="00A34F94"/>
    <w:rsid w:val="00A36D9E"/>
    <w:rsid w:val="00A37E81"/>
    <w:rsid w:val="00A416B6"/>
    <w:rsid w:val="00A42E50"/>
    <w:rsid w:val="00A44058"/>
    <w:rsid w:val="00A4408B"/>
    <w:rsid w:val="00A444A7"/>
    <w:rsid w:val="00A44F51"/>
    <w:rsid w:val="00A4724E"/>
    <w:rsid w:val="00A47523"/>
    <w:rsid w:val="00A47967"/>
    <w:rsid w:val="00A47A05"/>
    <w:rsid w:val="00A47F2A"/>
    <w:rsid w:val="00A50DF8"/>
    <w:rsid w:val="00A518C7"/>
    <w:rsid w:val="00A51B4B"/>
    <w:rsid w:val="00A51E56"/>
    <w:rsid w:val="00A52209"/>
    <w:rsid w:val="00A54DF0"/>
    <w:rsid w:val="00A558DF"/>
    <w:rsid w:val="00A55C08"/>
    <w:rsid w:val="00A566A5"/>
    <w:rsid w:val="00A5699E"/>
    <w:rsid w:val="00A613C0"/>
    <w:rsid w:val="00A613FB"/>
    <w:rsid w:val="00A6290F"/>
    <w:rsid w:val="00A63413"/>
    <w:rsid w:val="00A6360F"/>
    <w:rsid w:val="00A6456A"/>
    <w:rsid w:val="00A645B0"/>
    <w:rsid w:val="00A65964"/>
    <w:rsid w:val="00A67C46"/>
    <w:rsid w:val="00A706FA"/>
    <w:rsid w:val="00A7157D"/>
    <w:rsid w:val="00A718C4"/>
    <w:rsid w:val="00A71A8A"/>
    <w:rsid w:val="00A7311D"/>
    <w:rsid w:val="00A7391D"/>
    <w:rsid w:val="00A76409"/>
    <w:rsid w:val="00A77513"/>
    <w:rsid w:val="00A813AD"/>
    <w:rsid w:val="00A81AD6"/>
    <w:rsid w:val="00A82714"/>
    <w:rsid w:val="00A8319E"/>
    <w:rsid w:val="00A83AA0"/>
    <w:rsid w:val="00A84771"/>
    <w:rsid w:val="00A84ED8"/>
    <w:rsid w:val="00A853E8"/>
    <w:rsid w:val="00A878FC"/>
    <w:rsid w:val="00A87DFE"/>
    <w:rsid w:val="00A904AB"/>
    <w:rsid w:val="00A9122A"/>
    <w:rsid w:val="00A92FDF"/>
    <w:rsid w:val="00A93613"/>
    <w:rsid w:val="00A93D24"/>
    <w:rsid w:val="00A9537F"/>
    <w:rsid w:val="00A954EC"/>
    <w:rsid w:val="00A9590D"/>
    <w:rsid w:val="00AA05E4"/>
    <w:rsid w:val="00AA139D"/>
    <w:rsid w:val="00AA1AAF"/>
    <w:rsid w:val="00AA21DB"/>
    <w:rsid w:val="00AA42F3"/>
    <w:rsid w:val="00AA454F"/>
    <w:rsid w:val="00AA4CA8"/>
    <w:rsid w:val="00AA6A54"/>
    <w:rsid w:val="00AA7FBC"/>
    <w:rsid w:val="00AB0503"/>
    <w:rsid w:val="00AB14F5"/>
    <w:rsid w:val="00AB1525"/>
    <w:rsid w:val="00AB3BEE"/>
    <w:rsid w:val="00AB4DAB"/>
    <w:rsid w:val="00AB5143"/>
    <w:rsid w:val="00AB6AAC"/>
    <w:rsid w:val="00AB6E11"/>
    <w:rsid w:val="00AB751D"/>
    <w:rsid w:val="00AB7C9C"/>
    <w:rsid w:val="00AC00FB"/>
    <w:rsid w:val="00AC0391"/>
    <w:rsid w:val="00AC0817"/>
    <w:rsid w:val="00AC165A"/>
    <w:rsid w:val="00AC43C0"/>
    <w:rsid w:val="00AC4A9C"/>
    <w:rsid w:val="00AC57A9"/>
    <w:rsid w:val="00AC607D"/>
    <w:rsid w:val="00AC6485"/>
    <w:rsid w:val="00AC70AE"/>
    <w:rsid w:val="00AD2EE9"/>
    <w:rsid w:val="00AD33A1"/>
    <w:rsid w:val="00AD3B41"/>
    <w:rsid w:val="00AD4DB1"/>
    <w:rsid w:val="00AD5803"/>
    <w:rsid w:val="00AD73EF"/>
    <w:rsid w:val="00AD7556"/>
    <w:rsid w:val="00AD7C8B"/>
    <w:rsid w:val="00AE01A7"/>
    <w:rsid w:val="00AE101A"/>
    <w:rsid w:val="00AE1809"/>
    <w:rsid w:val="00AE1C4E"/>
    <w:rsid w:val="00AE22EF"/>
    <w:rsid w:val="00AE2B45"/>
    <w:rsid w:val="00AE3186"/>
    <w:rsid w:val="00AE3699"/>
    <w:rsid w:val="00AE382C"/>
    <w:rsid w:val="00AE3FF2"/>
    <w:rsid w:val="00AE4448"/>
    <w:rsid w:val="00AE4A5A"/>
    <w:rsid w:val="00AE4C4D"/>
    <w:rsid w:val="00AE7FFE"/>
    <w:rsid w:val="00AF0B30"/>
    <w:rsid w:val="00AF17FE"/>
    <w:rsid w:val="00AF215C"/>
    <w:rsid w:val="00AF25F8"/>
    <w:rsid w:val="00AF29FC"/>
    <w:rsid w:val="00AF2FF1"/>
    <w:rsid w:val="00AF5C7F"/>
    <w:rsid w:val="00AF70C2"/>
    <w:rsid w:val="00AF76CD"/>
    <w:rsid w:val="00B016FA"/>
    <w:rsid w:val="00B01FC8"/>
    <w:rsid w:val="00B02729"/>
    <w:rsid w:val="00B04036"/>
    <w:rsid w:val="00B04257"/>
    <w:rsid w:val="00B047C4"/>
    <w:rsid w:val="00B05A47"/>
    <w:rsid w:val="00B06AF6"/>
    <w:rsid w:val="00B07B90"/>
    <w:rsid w:val="00B10889"/>
    <w:rsid w:val="00B10C39"/>
    <w:rsid w:val="00B12599"/>
    <w:rsid w:val="00B133E1"/>
    <w:rsid w:val="00B13F34"/>
    <w:rsid w:val="00B14136"/>
    <w:rsid w:val="00B15C2A"/>
    <w:rsid w:val="00B2053A"/>
    <w:rsid w:val="00B22BAE"/>
    <w:rsid w:val="00B22D2D"/>
    <w:rsid w:val="00B23ABF"/>
    <w:rsid w:val="00B25D74"/>
    <w:rsid w:val="00B2696A"/>
    <w:rsid w:val="00B26B95"/>
    <w:rsid w:val="00B26C98"/>
    <w:rsid w:val="00B2748D"/>
    <w:rsid w:val="00B279E0"/>
    <w:rsid w:val="00B27A17"/>
    <w:rsid w:val="00B30811"/>
    <w:rsid w:val="00B313C4"/>
    <w:rsid w:val="00B34158"/>
    <w:rsid w:val="00B34269"/>
    <w:rsid w:val="00B348A1"/>
    <w:rsid w:val="00B351D2"/>
    <w:rsid w:val="00B36532"/>
    <w:rsid w:val="00B36C89"/>
    <w:rsid w:val="00B37520"/>
    <w:rsid w:val="00B37587"/>
    <w:rsid w:val="00B37EAD"/>
    <w:rsid w:val="00B404E8"/>
    <w:rsid w:val="00B41287"/>
    <w:rsid w:val="00B41427"/>
    <w:rsid w:val="00B41876"/>
    <w:rsid w:val="00B422AE"/>
    <w:rsid w:val="00B45359"/>
    <w:rsid w:val="00B46346"/>
    <w:rsid w:val="00B5415A"/>
    <w:rsid w:val="00B541FF"/>
    <w:rsid w:val="00B54336"/>
    <w:rsid w:val="00B564A7"/>
    <w:rsid w:val="00B57817"/>
    <w:rsid w:val="00B60001"/>
    <w:rsid w:val="00B6024E"/>
    <w:rsid w:val="00B618DA"/>
    <w:rsid w:val="00B61BE2"/>
    <w:rsid w:val="00B61E62"/>
    <w:rsid w:val="00B629C0"/>
    <w:rsid w:val="00B648F1"/>
    <w:rsid w:val="00B66B70"/>
    <w:rsid w:val="00B672D5"/>
    <w:rsid w:val="00B67613"/>
    <w:rsid w:val="00B73A46"/>
    <w:rsid w:val="00B7446C"/>
    <w:rsid w:val="00B7560F"/>
    <w:rsid w:val="00B77202"/>
    <w:rsid w:val="00B80029"/>
    <w:rsid w:val="00B805F5"/>
    <w:rsid w:val="00B808D1"/>
    <w:rsid w:val="00B809AF"/>
    <w:rsid w:val="00B80AA5"/>
    <w:rsid w:val="00B81346"/>
    <w:rsid w:val="00B81F5F"/>
    <w:rsid w:val="00B822F2"/>
    <w:rsid w:val="00B823B8"/>
    <w:rsid w:val="00B82453"/>
    <w:rsid w:val="00B82817"/>
    <w:rsid w:val="00B83C64"/>
    <w:rsid w:val="00B83E3D"/>
    <w:rsid w:val="00B84711"/>
    <w:rsid w:val="00B87758"/>
    <w:rsid w:val="00B918C2"/>
    <w:rsid w:val="00B93191"/>
    <w:rsid w:val="00B93724"/>
    <w:rsid w:val="00B93F84"/>
    <w:rsid w:val="00B943B6"/>
    <w:rsid w:val="00B96024"/>
    <w:rsid w:val="00B962F4"/>
    <w:rsid w:val="00B96BD2"/>
    <w:rsid w:val="00B97531"/>
    <w:rsid w:val="00BA1002"/>
    <w:rsid w:val="00BA1327"/>
    <w:rsid w:val="00BA2224"/>
    <w:rsid w:val="00BA28EE"/>
    <w:rsid w:val="00BA617E"/>
    <w:rsid w:val="00BA67AA"/>
    <w:rsid w:val="00BA6850"/>
    <w:rsid w:val="00BB00D0"/>
    <w:rsid w:val="00BB0192"/>
    <w:rsid w:val="00BB026F"/>
    <w:rsid w:val="00BB113C"/>
    <w:rsid w:val="00BB2330"/>
    <w:rsid w:val="00BB39BF"/>
    <w:rsid w:val="00BB4233"/>
    <w:rsid w:val="00BB57D5"/>
    <w:rsid w:val="00BB5A70"/>
    <w:rsid w:val="00BB60EC"/>
    <w:rsid w:val="00BB6B22"/>
    <w:rsid w:val="00BB7826"/>
    <w:rsid w:val="00BB7E19"/>
    <w:rsid w:val="00BC2721"/>
    <w:rsid w:val="00BC3DED"/>
    <w:rsid w:val="00BC4AD5"/>
    <w:rsid w:val="00BC4D15"/>
    <w:rsid w:val="00BC5386"/>
    <w:rsid w:val="00BC5DD1"/>
    <w:rsid w:val="00BC6669"/>
    <w:rsid w:val="00BC7C29"/>
    <w:rsid w:val="00BD158E"/>
    <w:rsid w:val="00BD562F"/>
    <w:rsid w:val="00BE12FE"/>
    <w:rsid w:val="00BE250E"/>
    <w:rsid w:val="00BE3C6C"/>
    <w:rsid w:val="00BE3F3D"/>
    <w:rsid w:val="00BE4578"/>
    <w:rsid w:val="00BE667A"/>
    <w:rsid w:val="00BE734A"/>
    <w:rsid w:val="00BF08FC"/>
    <w:rsid w:val="00BF1967"/>
    <w:rsid w:val="00BF2F0C"/>
    <w:rsid w:val="00BF4CDB"/>
    <w:rsid w:val="00BF4FC6"/>
    <w:rsid w:val="00BF54B8"/>
    <w:rsid w:val="00BF6C1E"/>
    <w:rsid w:val="00C0002E"/>
    <w:rsid w:val="00C00580"/>
    <w:rsid w:val="00C01A86"/>
    <w:rsid w:val="00C02200"/>
    <w:rsid w:val="00C024EF"/>
    <w:rsid w:val="00C02550"/>
    <w:rsid w:val="00C0258D"/>
    <w:rsid w:val="00C02CFE"/>
    <w:rsid w:val="00C02D88"/>
    <w:rsid w:val="00C02DA2"/>
    <w:rsid w:val="00C02E09"/>
    <w:rsid w:val="00C02EA6"/>
    <w:rsid w:val="00C04AB0"/>
    <w:rsid w:val="00C05F42"/>
    <w:rsid w:val="00C06D6C"/>
    <w:rsid w:val="00C06FAC"/>
    <w:rsid w:val="00C071A7"/>
    <w:rsid w:val="00C1123D"/>
    <w:rsid w:val="00C125AA"/>
    <w:rsid w:val="00C12DEB"/>
    <w:rsid w:val="00C1638D"/>
    <w:rsid w:val="00C179C3"/>
    <w:rsid w:val="00C17B8B"/>
    <w:rsid w:val="00C17E44"/>
    <w:rsid w:val="00C20B0B"/>
    <w:rsid w:val="00C20E39"/>
    <w:rsid w:val="00C22AC5"/>
    <w:rsid w:val="00C23517"/>
    <w:rsid w:val="00C240E0"/>
    <w:rsid w:val="00C244CA"/>
    <w:rsid w:val="00C25182"/>
    <w:rsid w:val="00C270D4"/>
    <w:rsid w:val="00C275B0"/>
    <w:rsid w:val="00C30412"/>
    <w:rsid w:val="00C30C99"/>
    <w:rsid w:val="00C3175F"/>
    <w:rsid w:val="00C31830"/>
    <w:rsid w:val="00C324B8"/>
    <w:rsid w:val="00C33FA1"/>
    <w:rsid w:val="00C35087"/>
    <w:rsid w:val="00C35B63"/>
    <w:rsid w:val="00C373E5"/>
    <w:rsid w:val="00C37D97"/>
    <w:rsid w:val="00C40439"/>
    <w:rsid w:val="00C41A66"/>
    <w:rsid w:val="00C42781"/>
    <w:rsid w:val="00C42AF7"/>
    <w:rsid w:val="00C43A58"/>
    <w:rsid w:val="00C44E21"/>
    <w:rsid w:val="00C451A9"/>
    <w:rsid w:val="00C45F3C"/>
    <w:rsid w:val="00C46937"/>
    <w:rsid w:val="00C47A52"/>
    <w:rsid w:val="00C5116D"/>
    <w:rsid w:val="00C52F80"/>
    <w:rsid w:val="00C5540E"/>
    <w:rsid w:val="00C5545C"/>
    <w:rsid w:val="00C5713E"/>
    <w:rsid w:val="00C57588"/>
    <w:rsid w:val="00C578AB"/>
    <w:rsid w:val="00C60094"/>
    <w:rsid w:val="00C60F13"/>
    <w:rsid w:val="00C62145"/>
    <w:rsid w:val="00C62395"/>
    <w:rsid w:val="00C62D4A"/>
    <w:rsid w:val="00C64C1C"/>
    <w:rsid w:val="00C64D7C"/>
    <w:rsid w:val="00C6615A"/>
    <w:rsid w:val="00C67C7A"/>
    <w:rsid w:val="00C70258"/>
    <w:rsid w:val="00C70794"/>
    <w:rsid w:val="00C70EDB"/>
    <w:rsid w:val="00C71E1B"/>
    <w:rsid w:val="00C72379"/>
    <w:rsid w:val="00C739EE"/>
    <w:rsid w:val="00C73E39"/>
    <w:rsid w:val="00C75028"/>
    <w:rsid w:val="00C751B6"/>
    <w:rsid w:val="00C75403"/>
    <w:rsid w:val="00C76AE0"/>
    <w:rsid w:val="00C76B9B"/>
    <w:rsid w:val="00C80542"/>
    <w:rsid w:val="00C81543"/>
    <w:rsid w:val="00C817ED"/>
    <w:rsid w:val="00C8262A"/>
    <w:rsid w:val="00C82651"/>
    <w:rsid w:val="00C831A0"/>
    <w:rsid w:val="00C831CE"/>
    <w:rsid w:val="00C84645"/>
    <w:rsid w:val="00C84F9C"/>
    <w:rsid w:val="00C86095"/>
    <w:rsid w:val="00C86AE9"/>
    <w:rsid w:val="00C9053A"/>
    <w:rsid w:val="00C90D73"/>
    <w:rsid w:val="00C91020"/>
    <w:rsid w:val="00C913E9"/>
    <w:rsid w:val="00C91D11"/>
    <w:rsid w:val="00C92DED"/>
    <w:rsid w:val="00C93E45"/>
    <w:rsid w:val="00C943AE"/>
    <w:rsid w:val="00C94479"/>
    <w:rsid w:val="00C94A20"/>
    <w:rsid w:val="00C95339"/>
    <w:rsid w:val="00CA08F0"/>
    <w:rsid w:val="00CA1EA5"/>
    <w:rsid w:val="00CA2ABF"/>
    <w:rsid w:val="00CA4B23"/>
    <w:rsid w:val="00CA5823"/>
    <w:rsid w:val="00CA5E9C"/>
    <w:rsid w:val="00CA6696"/>
    <w:rsid w:val="00CA6AD0"/>
    <w:rsid w:val="00CB100C"/>
    <w:rsid w:val="00CB1122"/>
    <w:rsid w:val="00CB162F"/>
    <w:rsid w:val="00CB230E"/>
    <w:rsid w:val="00CB6DD7"/>
    <w:rsid w:val="00CB71D7"/>
    <w:rsid w:val="00CB71FC"/>
    <w:rsid w:val="00CC02C0"/>
    <w:rsid w:val="00CC08B3"/>
    <w:rsid w:val="00CC2B6A"/>
    <w:rsid w:val="00CC388D"/>
    <w:rsid w:val="00CC38E4"/>
    <w:rsid w:val="00CC4E9D"/>
    <w:rsid w:val="00CC4F47"/>
    <w:rsid w:val="00CC5998"/>
    <w:rsid w:val="00CC7D1F"/>
    <w:rsid w:val="00CD1153"/>
    <w:rsid w:val="00CD1E77"/>
    <w:rsid w:val="00CD440F"/>
    <w:rsid w:val="00CD53F2"/>
    <w:rsid w:val="00CD60F9"/>
    <w:rsid w:val="00CD61FC"/>
    <w:rsid w:val="00CD62D1"/>
    <w:rsid w:val="00CD7AF2"/>
    <w:rsid w:val="00CD7D44"/>
    <w:rsid w:val="00CE2479"/>
    <w:rsid w:val="00CE298F"/>
    <w:rsid w:val="00CE36BC"/>
    <w:rsid w:val="00CE376F"/>
    <w:rsid w:val="00CE4105"/>
    <w:rsid w:val="00CE4F29"/>
    <w:rsid w:val="00CE546A"/>
    <w:rsid w:val="00CE5FF6"/>
    <w:rsid w:val="00CE6AFE"/>
    <w:rsid w:val="00CE7760"/>
    <w:rsid w:val="00CF1E1F"/>
    <w:rsid w:val="00CF2607"/>
    <w:rsid w:val="00CF3A37"/>
    <w:rsid w:val="00CF3FD0"/>
    <w:rsid w:val="00CF5BEB"/>
    <w:rsid w:val="00CF6D75"/>
    <w:rsid w:val="00CF7025"/>
    <w:rsid w:val="00CF738F"/>
    <w:rsid w:val="00CF739F"/>
    <w:rsid w:val="00D0006C"/>
    <w:rsid w:val="00D01A12"/>
    <w:rsid w:val="00D03BFE"/>
    <w:rsid w:val="00D064A0"/>
    <w:rsid w:val="00D1045B"/>
    <w:rsid w:val="00D10536"/>
    <w:rsid w:val="00D10FE2"/>
    <w:rsid w:val="00D11AF8"/>
    <w:rsid w:val="00D12941"/>
    <w:rsid w:val="00D12C99"/>
    <w:rsid w:val="00D13737"/>
    <w:rsid w:val="00D14521"/>
    <w:rsid w:val="00D16918"/>
    <w:rsid w:val="00D16FF0"/>
    <w:rsid w:val="00D17B7D"/>
    <w:rsid w:val="00D17DB1"/>
    <w:rsid w:val="00D20742"/>
    <w:rsid w:val="00D20912"/>
    <w:rsid w:val="00D21E83"/>
    <w:rsid w:val="00D22BCE"/>
    <w:rsid w:val="00D2362D"/>
    <w:rsid w:val="00D236C0"/>
    <w:rsid w:val="00D241BA"/>
    <w:rsid w:val="00D24E04"/>
    <w:rsid w:val="00D25414"/>
    <w:rsid w:val="00D258B5"/>
    <w:rsid w:val="00D26D5D"/>
    <w:rsid w:val="00D30725"/>
    <w:rsid w:val="00D313ED"/>
    <w:rsid w:val="00D34A95"/>
    <w:rsid w:val="00D350CF"/>
    <w:rsid w:val="00D35158"/>
    <w:rsid w:val="00D36FF7"/>
    <w:rsid w:val="00D375A1"/>
    <w:rsid w:val="00D40092"/>
    <w:rsid w:val="00D40DCF"/>
    <w:rsid w:val="00D410DC"/>
    <w:rsid w:val="00D4214A"/>
    <w:rsid w:val="00D4253D"/>
    <w:rsid w:val="00D4285C"/>
    <w:rsid w:val="00D42D64"/>
    <w:rsid w:val="00D43003"/>
    <w:rsid w:val="00D4328F"/>
    <w:rsid w:val="00D43523"/>
    <w:rsid w:val="00D435FB"/>
    <w:rsid w:val="00D43B9A"/>
    <w:rsid w:val="00D43E1A"/>
    <w:rsid w:val="00D45409"/>
    <w:rsid w:val="00D502B1"/>
    <w:rsid w:val="00D50C51"/>
    <w:rsid w:val="00D51B7B"/>
    <w:rsid w:val="00D52937"/>
    <w:rsid w:val="00D531FD"/>
    <w:rsid w:val="00D53BFB"/>
    <w:rsid w:val="00D54DCA"/>
    <w:rsid w:val="00D57E85"/>
    <w:rsid w:val="00D60291"/>
    <w:rsid w:val="00D61AA4"/>
    <w:rsid w:val="00D61E67"/>
    <w:rsid w:val="00D62D81"/>
    <w:rsid w:val="00D62F72"/>
    <w:rsid w:val="00D63840"/>
    <w:rsid w:val="00D63885"/>
    <w:rsid w:val="00D63A14"/>
    <w:rsid w:val="00D65DFA"/>
    <w:rsid w:val="00D7077E"/>
    <w:rsid w:val="00D72179"/>
    <w:rsid w:val="00D73632"/>
    <w:rsid w:val="00D74026"/>
    <w:rsid w:val="00D742BD"/>
    <w:rsid w:val="00D7522E"/>
    <w:rsid w:val="00D756BB"/>
    <w:rsid w:val="00D75F65"/>
    <w:rsid w:val="00D766EA"/>
    <w:rsid w:val="00D76BCF"/>
    <w:rsid w:val="00D776CB"/>
    <w:rsid w:val="00D8167B"/>
    <w:rsid w:val="00D8333A"/>
    <w:rsid w:val="00D83971"/>
    <w:rsid w:val="00D83E03"/>
    <w:rsid w:val="00D84656"/>
    <w:rsid w:val="00D8473C"/>
    <w:rsid w:val="00D84DC7"/>
    <w:rsid w:val="00D8544D"/>
    <w:rsid w:val="00D8598D"/>
    <w:rsid w:val="00D85DF3"/>
    <w:rsid w:val="00D86BC8"/>
    <w:rsid w:val="00D86BE4"/>
    <w:rsid w:val="00D86E46"/>
    <w:rsid w:val="00D90532"/>
    <w:rsid w:val="00D91D07"/>
    <w:rsid w:val="00D9266F"/>
    <w:rsid w:val="00D92713"/>
    <w:rsid w:val="00D937BD"/>
    <w:rsid w:val="00D9519B"/>
    <w:rsid w:val="00D962FA"/>
    <w:rsid w:val="00D976A4"/>
    <w:rsid w:val="00DA0015"/>
    <w:rsid w:val="00DA0186"/>
    <w:rsid w:val="00DA01A7"/>
    <w:rsid w:val="00DA2C8E"/>
    <w:rsid w:val="00DA3924"/>
    <w:rsid w:val="00DA3ABC"/>
    <w:rsid w:val="00DA3C93"/>
    <w:rsid w:val="00DA663B"/>
    <w:rsid w:val="00DA6ACA"/>
    <w:rsid w:val="00DA6BA6"/>
    <w:rsid w:val="00DA76AE"/>
    <w:rsid w:val="00DB006D"/>
    <w:rsid w:val="00DB0548"/>
    <w:rsid w:val="00DB181A"/>
    <w:rsid w:val="00DB3A7D"/>
    <w:rsid w:val="00DB3E31"/>
    <w:rsid w:val="00DB515E"/>
    <w:rsid w:val="00DB5B6C"/>
    <w:rsid w:val="00DB6BDF"/>
    <w:rsid w:val="00DB7DDD"/>
    <w:rsid w:val="00DC0117"/>
    <w:rsid w:val="00DC0B0F"/>
    <w:rsid w:val="00DC10BE"/>
    <w:rsid w:val="00DC1CA2"/>
    <w:rsid w:val="00DC57EB"/>
    <w:rsid w:val="00DC66E8"/>
    <w:rsid w:val="00DC6A51"/>
    <w:rsid w:val="00DC74F5"/>
    <w:rsid w:val="00DC7BD0"/>
    <w:rsid w:val="00DC7CFE"/>
    <w:rsid w:val="00DD0132"/>
    <w:rsid w:val="00DD01BF"/>
    <w:rsid w:val="00DD0DA9"/>
    <w:rsid w:val="00DD12D7"/>
    <w:rsid w:val="00DD30C2"/>
    <w:rsid w:val="00DD492E"/>
    <w:rsid w:val="00DD4AC2"/>
    <w:rsid w:val="00DD4D06"/>
    <w:rsid w:val="00DD5221"/>
    <w:rsid w:val="00DD5F06"/>
    <w:rsid w:val="00DD6C72"/>
    <w:rsid w:val="00DD7151"/>
    <w:rsid w:val="00DD7EF8"/>
    <w:rsid w:val="00DE0C89"/>
    <w:rsid w:val="00DE0C8E"/>
    <w:rsid w:val="00DE1000"/>
    <w:rsid w:val="00DE1228"/>
    <w:rsid w:val="00DE1E3D"/>
    <w:rsid w:val="00DE21EE"/>
    <w:rsid w:val="00DE3B6B"/>
    <w:rsid w:val="00DE3FDD"/>
    <w:rsid w:val="00DE5448"/>
    <w:rsid w:val="00DE547B"/>
    <w:rsid w:val="00DE5498"/>
    <w:rsid w:val="00DE5ABB"/>
    <w:rsid w:val="00DE627B"/>
    <w:rsid w:val="00DE63CC"/>
    <w:rsid w:val="00DE77D1"/>
    <w:rsid w:val="00DF052E"/>
    <w:rsid w:val="00DF09FB"/>
    <w:rsid w:val="00DF1525"/>
    <w:rsid w:val="00DF324F"/>
    <w:rsid w:val="00DF3F70"/>
    <w:rsid w:val="00DF54CB"/>
    <w:rsid w:val="00DF593A"/>
    <w:rsid w:val="00DF5B83"/>
    <w:rsid w:val="00DF5E96"/>
    <w:rsid w:val="00DF7848"/>
    <w:rsid w:val="00DF7FE0"/>
    <w:rsid w:val="00E0027C"/>
    <w:rsid w:val="00E0120C"/>
    <w:rsid w:val="00E018C5"/>
    <w:rsid w:val="00E0230F"/>
    <w:rsid w:val="00E02986"/>
    <w:rsid w:val="00E02E0B"/>
    <w:rsid w:val="00E03B01"/>
    <w:rsid w:val="00E106EB"/>
    <w:rsid w:val="00E10EE3"/>
    <w:rsid w:val="00E120D3"/>
    <w:rsid w:val="00E12456"/>
    <w:rsid w:val="00E125C9"/>
    <w:rsid w:val="00E12C8F"/>
    <w:rsid w:val="00E12FE9"/>
    <w:rsid w:val="00E136F0"/>
    <w:rsid w:val="00E14DBD"/>
    <w:rsid w:val="00E17F7C"/>
    <w:rsid w:val="00E20336"/>
    <w:rsid w:val="00E218DF"/>
    <w:rsid w:val="00E2386C"/>
    <w:rsid w:val="00E24EBC"/>
    <w:rsid w:val="00E25F5C"/>
    <w:rsid w:val="00E27929"/>
    <w:rsid w:val="00E30C0F"/>
    <w:rsid w:val="00E31880"/>
    <w:rsid w:val="00E349C7"/>
    <w:rsid w:val="00E34AF9"/>
    <w:rsid w:val="00E34E8B"/>
    <w:rsid w:val="00E355B0"/>
    <w:rsid w:val="00E36468"/>
    <w:rsid w:val="00E37940"/>
    <w:rsid w:val="00E433F7"/>
    <w:rsid w:val="00E43EAF"/>
    <w:rsid w:val="00E440CA"/>
    <w:rsid w:val="00E44E32"/>
    <w:rsid w:val="00E45147"/>
    <w:rsid w:val="00E4541B"/>
    <w:rsid w:val="00E50EEE"/>
    <w:rsid w:val="00E51976"/>
    <w:rsid w:val="00E519BF"/>
    <w:rsid w:val="00E51C37"/>
    <w:rsid w:val="00E52008"/>
    <w:rsid w:val="00E526BF"/>
    <w:rsid w:val="00E53728"/>
    <w:rsid w:val="00E55B3B"/>
    <w:rsid w:val="00E56185"/>
    <w:rsid w:val="00E56371"/>
    <w:rsid w:val="00E56AF9"/>
    <w:rsid w:val="00E56E33"/>
    <w:rsid w:val="00E572CC"/>
    <w:rsid w:val="00E57E5E"/>
    <w:rsid w:val="00E62597"/>
    <w:rsid w:val="00E62C0C"/>
    <w:rsid w:val="00E63069"/>
    <w:rsid w:val="00E63FC1"/>
    <w:rsid w:val="00E65020"/>
    <w:rsid w:val="00E6569D"/>
    <w:rsid w:val="00E65D0E"/>
    <w:rsid w:val="00E662B1"/>
    <w:rsid w:val="00E67397"/>
    <w:rsid w:val="00E67ECB"/>
    <w:rsid w:val="00E702EB"/>
    <w:rsid w:val="00E7116B"/>
    <w:rsid w:val="00E71D56"/>
    <w:rsid w:val="00E741C8"/>
    <w:rsid w:val="00E74C57"/>
    <w:rsid w:val="00E750C9"/>
    <w:rsid w:val="00E75531"/>
    <w:rsid w:val="00E76357"/>
    <w:rsid w:val="00E76F56"/>
    <w:rsid w:val="00E77E97"/>
    <w:rsid w:val="00E8019D"/>
    <w:rsid w:val="00E802DC"/>
    <w:rsid w:val="00E80F59"/>
    <w:rsid w:val="00E81FE1"/>
    <w:rsid w:val="00E841EA"/>
    <w:rsid w:val="00E844AE"/>
    <w:rsid w:val="00E859E9"/>
    <w:rsid w:val="00E871CE"/>
    <w:rsid w:val="00E87D75"/>
    <w:rsid w:val="00E900CD"/>
    <w:rsid w:val="00E911F6"/>
    <w:rsid w:val="00E9360A"/>
    <w:rsid w:val="00E943A7"/>
    <w:rsid w:val="00E957AE"/>
    <w:rsid w:val="00E95AFF"/>
    <w:rsid w:val="00E95E41"/>
    <w:rsid w:val="00E969EA"/>
    <w:rsid w:val="00E96FA4"/>
    <w:rsid w:val="00E979CD"/>
    <w:rsid w:val="00EA1072"/>
    <w:rsid w:val="00EA178E"/>
    <w:rsid w:val="00EA1C80"/>
    <w:rsid w:val="00EA2FCE"/>
    <w:rsid w:val="00EA3AF3"/>
    <w:rsid w:val="00EA4047"/>
    <w:rsid w:val="00EA577B"/>
    <w:rsid w:val="00EA69EB"/>
    <w:rsid w:val="00EA7310"/>
    <w:rsid w:val="00EA7884"/>
    <w:rsid w:val="00EA7EC2"/>
    <w:rsid w:val="00EA7F4A"/>
    <w:rsid w:val="00EB167C"/>
    <w:rsid w:val="00EB2AF7"/>
    <w:rsid w:val="00EB41F6"/>
    <w:rsid w:val="00EB4A91"/>
    <w:rsid w:val="00EB4E46"/>
    <w:rsid w:val="00EB67E9"/>
    <w:rsid w:val="00EB692E"/>
    <w:rsid w:val="00EC0D21"/>
    <w:rsid w:val="00EC1766"/>
    <w:rsid w:val="00EC176F"/>
    <w:rsid w:val="00EC2F7F"/>
    <w:rsid w:val="00EC3311"/>
    <w:rsid w:val="00EC4DF7"/>
    <w:rsid w:val="00EC5DDC"/>
    <w:rsid w:val="00EC7C3D"/>
    <w:rsid w:val="00ED3CA8"/>
    <w:rsid w:val="00ED537C"/>
    <w:rsid w:val="00ED5441"/>
    <w:rsid w:val="00EE077F"/>
    <w:rsid w:val="00EE0A9A"/>
    <w:rsid w:val="00EE0B97"/>
    <w:rsid w:val="00EE1BBD"/>
    <w:rsid w:val="00EE29F7"/>
    <w:rsid w:val="00EE2FF5"/>
    <w:rsid w:val="00EE4A25"/>
    <w:rsid w:val="00EE59C0"/>
    <w:rsid w:val="00EE6B2C"/>
    <w:rsid w:val="00EE7C4B"/>
    <w:rsid w:val="00EF06DF"/>
    <w:rsid w:val="00EF07F6"/>
    <w:rsid w:val="00EF1029"/>
    <w:rsid w:val="00EF205B"/>
    <w:rsid w:val="00EF22F3"/>
    <w:rsid w:val="00EF6F0D"/>
    <w:rsid w:val="00F02D5B"/>
    <w:rsid w:val="00F0376D"/>
    <w:rsid w:val="00F046AA"/>
    <w:rsid w:val="00F0470B"/>
    <w:rsid w:val="00F05556"/>
    <w:rsid w:val="00F0775B"/>
    <w:rsid w:val="00F11023"/>
    <w:rsid w:val="00F116C9"/>
    <w:rsid w:val="00F1207B"/>
    <w:rsid w:val="00F12132"/>
    <w:rsid w:val="00F12E16"/>
    <w:rsid w:val="00F14734"/>
    <w:rsid w:val="00F1491C"/>
    <w:rsid w:val="00F14FDF"/>
    <w:rsid w:val="00F16185"/>
    <w:rsid w:val="00F16B76"/>
    <w:rsid w:val="00F179F7"/>
    <w:rsid w:val="00F20B53"/>
    <w:rsid w:val="00F21127"/>
    <w:rsid w:val="00F21DC6"/>
    <w:rsid w:val="00F22494"/>
    <w:rsid w:val="00F22AD3"/>
    <w:rsid w:val="00F22C5C"/>
    <w:rsid w:val="00F231BC"/>
    <w:rsid w:val="00F23287"/>
    <w:rsid w:val="00F23608"/>
    <w:rsid w:val="00F24414"/>
    <w:rsid w:val="00F2484C"/>
    <w:rsid w:val="00F2509F"/>
    <w:rsid w:val="00F25942"/>
    <w:rsid w:val="00F26814"/>
    <w:rsid w:val="00F26B46"/>
    <w:rsid w:val="00F26CBB"/>
    <w:rsid w:val="00F30439"/>
    <w:rsid w:val="00F305F4"/>
    <w:rsid w:val="00F31F6C"/>
    <w:rsid w:val="00F3262D"/>
    <w:rsid w:val="00F32BBF"/>
    <w:rsid w:val="00F332EB"/>
    <w:rsid w:val="00F33771"/>
    <w:rsid w:val="00F33F3A"/>
    <w:rsid w:val="00F348DE"/>
    <w:rsid w:val="00F358AE"/>
    <w:rsid w:val="00F36A1C"/>
    <w:rsid w:val="00F40610"/>
    <w:rsid w:val="00F41069"/>
    <w:rsid w:val="00F424DB"/>
    <w:rsid w:val="00F43D07"/>
    <w:rsid w:val="00F46D18"/>
    <w:rsid w:val="00F501B7"/>
    <w:rsid w:val="00F51FC3"/>
    <w:rsid w:val="00F522C7"/>
    <w:rsid w:val="00F52398"/>
    <w:rsid w:val="00F539ED"/>
    <w:rsid w:val="00F608A1"/>
    <w:rsid w:val="00F6118A"/>
    <w:rsid w:val="00F6189C"/>
    <w:rsid w:val="00F61FDD"/>
    <w:rsid w:val="00F625DF"/>
    <w:rsid w:val="00F6303B"/>
    <w:rsid w:val="00F6311D"/>
    <w:rsid w:val="00F63A17"/>
    <w:rsid w:val="00F7032F"/>
    <w:rsid w:val="00F72021"/>
    <w:rsid w:val="00F724E6"/>
    <w:rsid w:val="00F734F2"/>
    <w:rsid w:val="00F73D2F"/>
    <w:rsid w:val="00F75102"/>
    <w:rsid w:val="00F756F7"/>
    <w:rsid w:val="00F75D51"/>
    <w:rsid w:val="00F75FEC"/>
    <w:rsid w:val="00F80DA7"/>
    <w:rsid w:val="00F81DA1"/>
    <w:rsid w:val="00F82A53"/>
    <w:rsid w:val="00F82D76"/>
    <w:rsid w:val="00F84363"/>
    <w:rsid w:val="00F84394"/>
    <w:rsid w:val="00F84BB6"/>
    <w:rsid w:val="00F8588C"/>
    <w:rsid w:val="00F86161"/>
    <w:rsid w:val="00F872BF"/>
    <w:rsid w:val="00F875FB"/>
    <w:rsid w:val="00F876DD"/>
    <w:rsid w:val="00F903C0"/>
    <w:rsid w:val="00F91B62"/>
    <w:rsid w:val="00F9255A"/>
    <w:rsid w:val="00F96F71"/>
    <w:rsid w:val="00F97B5F"/>
    <w:rsid w:val="00F97C36"/>
    <w:rsid w:val="00F97C71"/>
    <w:rsid w:val="00F97CCF"/>
    <w:rsid w:val="00FA136B"/>
    <w:rsid w:val="00FA1C20"/>
    <w:rsid w:val="00FA1C68"/>
    <w:rsid w:val="00FA2467"/>
    <w:rsid w:val="00FA52DE"/>
    <w:rsid w:val="00FA52FF"/>
    <w:rsid w:val="00FA5333"/>
    <w:rsid w:val="00FB09D7"/>
    <w:rsid w:val="00FB18C7"/>
    <w:rsid w:val="00FB3492"/>
    <w:rsid w:val="00FB3693"/>
    <w:rsid w:val="00FB3C6A"/>
    <w:rsid w:val="00FB4C43"/>
    <w:rsid w:val="00FB4DD7"/>
    <w:rsid w:val="00FB77F9"/>
    <w:rsid w:val="00FC115B"/>
    <w:rsid w:val="00FC1F2E"/>
    <w:rsid w:val="00FC384D"/>
    <w:rsid w:val="00FC57B6"/>
    <w:rsid w:val="00FC6157"/>
    <w:rsid w:val="00FD0777"/>
    <w:rsid w:val="00FD0ACF"/>
    <w:rsid w:val="00FD2500"/>
    <w:rsid w:val="00FD3B54"/>
    <w:rsid w:val="00FD3B9A"/>
    <w:rsid w:val="00FD5B64"/>
    <w:rsid w:val="00FD5DAF"/>
    <w:rsid w:val="00FE01CC"/>
    <w:rsid w:val="00FE020B"/>
    <w:rsid w:val="00FE0CD3"/>
    <w:rsid w:val="00FE1B92"/>
    <w:rsid w:val="00FE2792"/>
    <w:rsid w:val="00FE29F8"/>
    <w:rsid w:val="00FE3897"/>
    <w:rsid w:val="00FE4C67"/>
    <w:rsid w:val="00FE66B4"/>
    <w:rsid w:val="00FE6779"/>
    <w:rsid w:val="00FE7944"/>
    <w:rsid w:val="00FE7BCE"/>
    <w:rsid w:val="00FE7E84"/>
    <w:rsid w:val="00FF2153"/>
    <w:rsid w:val="00FF3379"/>
    <w:rsid w:val="00FF3A84"/>
    <w:rsid w:val="00FF4CED"/>
    <w:rsid w:val="00FF520B"/>
    <w:rsid w:val="00FF5D92"/>
    <w:rsid w:val="00FF6D10"/>
    <w:rsid w:val="00FF73F5"/>
    <w:rsid w:val="00FF78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27351"/>
  <w15:docId w15:val="{2C71C41C-FC61-40F4-9F90-B90AA4111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6C83"/>
    <w:pPr>
      <w:spacing w:after="200" w:line="276"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berarbeitung">
    <w:name w:val="Revision"/>
    <w:hidden/>
    <w:uiPriority w:val="99"/>
    <w:semiHidden/>
    <w:rsid w:val="00FD0ACF"/>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NichtaufgelsteErwhnung">
    <w:name w:val="Unresolved Mention"/>
    <w:basedOn w:val="Absatz-Standardschriftart"/>
    <w:uiPriority w:val="99"/>
    <w:semiHidden/>
    <w:unhideWhenUsed/>
    <w:rsid w:val="00412D32"/>
    <w:rPr>
      <w:color w:val="605E5C"/>
      <w:shd w:val="clear" w:color="auto" w:fill="E1DFDD"/>
    </w:rPr>
  </w:style>
  <w:style w:type="character" w:styleId="Kommentarzeichen">
    <w:name w:val="annotation reference"/>
    <w:basedOn w:val="Absatz-Standardschriftart"/>
    <w:uiPriority w:val="99"/>
    <w:semiHidden/>
    <w:unhideWhenUsed/>
    <w:rsid w:val="00E957AE"/>
    <w:rPr>
      <w:sz w:val="16"/>
      <w:szCs w:val="16"/>
    </w:rPr>
  </w:style>
  <w:style w:type="paragraph" w:styleId="Kommentartext">
    <w:name w:val="annotation text"/>
    <w:basedOn w:val="Standard"/>
    <w:link w:val="KommentartextZchn"/>
    <w:uiPriority w:val="99"/>
    <w:unhideWhenUsed/>
    <w:rsid w:val="00E957AE"/>
    <w:pPr>
      <w:spacing w:line="240" w:lineRule="auto"/>
    </w:pPr>
    <w:rPr>
      <w:sz w:val="20"/>
      <w:szCs w:val="20"/>
    </w:rPr>
  </w:style>
  <w:style w:type="character" w:customStyle="1" w:styleId="KommentartextZchn">
    <w:name w:val="Kommentartext Zchn"/>
    <w:basedOn w:val="Absatz-Standardschriftart"/>
    <w:link w:val="Kommentartext"/>
    <w:uiPriority w:val="99"/>
    <w:rsid w:val="00E957AE"/>
    <w:rPr>
      <w:rFonts w:ascii="Calibri" w:hAnsi="Calibri" w:cs="Arial Unicode MS"/>
      <w:color w:val="000000"/>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E957AE"/>
    <w:rPr>
      <w:b/>
      <w:bCs/>
    </w:rPr>
  </w:style>
  <w:style w:type="character" w:customStyle="1" w:styleId="KommentarthemaZchn">
    <w:name w:val="Kommentarthema Zchn"/>
    <w:basedOn w:val="KommentartextZchn"/>
    <w:link w:val="Kommentarthema"/>
    <w:uiPriority w:val="99"/>
    <w:semiHidden/>
    <w:rsid w:val="00E957AE"/>
    <w:rPr>
      <w:rFonts w:ascii="Calibri" w:hAnsi="Calibri" w:cs="Arial Unicode MS"/>
      <w:b/>
      <w:bCs/>
      <w:color w:val="000000"/>
      <w:u w:color="000000"/>
      <w14:textOutline w14:w="0" w14:cap="flat" w14:cmpd="sng" w14:algn="ctr">
        <w14:noFill/>
        <w14:prstDash w14:val="solid"/>
        <w14:bevel/>
      </w14:textOutline>
    </w:rPr>
  </w:style>
  <w:style w:type="paragraph" w:styleId="StandardWeb">
    <w:name w:val="Normal (Web)"/>
    <w:basedOn w:val="Standard"/>
    <w:uiPriority w:val="99"/>
    <w:semiHidden/>
    <w:unhideWhenUsed/>
    <w:rsid w:val="008C3E0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14:textOutline w14:w="0" w14:cap="rnd" w14:cmpd="sng" w14:algn="ctr">
        <w14:noFill/>
        <w14:prstDash w14:val="solid"/>
        <w14:bevel/>
      </w14:textOutline>
    </w:rPr>
  </w:style>
  <w:style w:type="table" w:styleId="Tabellenraster">
    <w:name w:val="Table Grid"/>
    <w:basedOn w:val="NormaleTabelle"/>
    <w:uiPriority w:val="39"/>
    <w:rsid w:val="009A1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DD0DA9"/>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02140">
      <w:bodyDiv w:val="1"/>
      <w:marLeft w:val="0"/>
      <w:marRight w:val="0"/>
      <w:marTop w:val="0"/>
      <w:marBottom w:val="0"/>
      <w:divBdr>
        <w:top w:val="none" w:sz="0" w:space="0" w:color="auto"/>
        <w:left w:val="none" w:sz="0" w:space="0" w:color="auto"/>
        <w:bottom w:val="none" w:sz="0" w:space="0" w:color="auto"/>
        <w:right w:val="none" w:sz="0" w:space="0" w:color="auto"/>
      </w:divBdr>
      <w:divsChild>
        <w:div w:id="2141998846">
          <w:marLeft w:val="0"/>
          <w:marRight w:val="0"/>
          <w:marTop w:val="0"/>
          <w:marBottom w:val="0"/>
          <w:divBdr>
            <w:top w:val="none" w:sz="0" w:space="0" w:color="auto"/>
            <w:left w:val="none" w:sz="0" w:space="0" w:color="auto"/>
            <w:bottom w:val="none" w:sz="0" w:space="0" w:color="auto"/>
            <w:right w:val="none" w:sz="0" w:space="0" w:color="auto"/>
          </w:divBdr>
        </w:div>
        <w:div w:id="1944798550">
          <w:marLeft w:val="0"/>
          <w:marRight w:val="0"/>
          <w:marTop w:val="240"/>
          <w:marBottom w:val="240"/>
          <w:divBdr>
            <w:top w:val="none" w:sz="0" w:space="0" w:color="auto"/>
            <w:left w:val="none" w:sz="0" w:space="0" w:color="auto"/>
            <w:bottom w:val="none" w:sz="0" w:space="0" w:color="auto"/>
            <w:right w:val="none" w:sz="0" w:space="0" w:color="auto"/>
          </w:divBdr>
        </w:div>
        <w:div w:id="419378760">
          <w:marLeft w:val="0"/>
          <w:marRight w:val="0"/>
          <w:marTop w:val="240"/>
          <w:marBottom w:val="240"/>
          <w:divBdr>
            <w:top w:val="none" w:sz="0" w:space="0" w:color="auto"/>
            <w:left w:val="none" w:sz="0" w:space="0" w:color="auto"/>
            <w:bottom w:val="none" w:sz="0" w:space="0" w:color="auto"/>
            <w:right w:val="none" w:sz="0" w:space="0" w:color="auto"/>
          </w:divBdr>
        </w:div>
        <w:div w:id="2030177311">
          <w:marLeft w:val="0"/>
          <w:marRight w:val="0"/>
          <w:marTop w:val="240"/>
          <w:marBottom w:val="240"/>
          <w:divBdr>
            <w:top w:val="none" w:sz="0" w:space="0" w:color="auto"/>
            <w:left w:val="none" w:sz="0" w:space="0" w:color="auto"/>
            <w:bottom w:val="none" w:sz="0" w:space="0" w:color="auto"/>
            <w:right w:val="none" w:sz="0" w:space="0" w:color="auto"/>
          </w:divBdr>
        </w:div>
      </w:divsChild>
    </w:div>
    <w:div w:id="32584637">
      <w:bodyDiv w:val="1"/>
      <w:marLeft w:val="0"/>
      <w:marRight w:val="0"/>
      <w:marTop w:val="0"/>
      <w:marBottom w:val="0"/>
      <w:divBdr>
        <w:top w:val="none" w:sz="0" w:space="0" w:color="auto"/>
        <w:left w:val="none" w:sz="0" w:space="0" w:color="auto"/>
        <w:bottom w:val="none" w:sz="0" w:space="0" w:color="auto"/>
        <w:right w:val="none" w:sz="0" w:space="0" w:color="auto"/>
      </w:divBdr>
    </w:div>
    <w:div w:id="257103469">
      <w:bodyDiv w:val="1"/>
      <w:marLeft w:val="0"/>
      <w:marRight w:val="0"/>
      <w:marTop w:val="0"/>
      <w:marBottom w:val="0"/>
      <w:divBdr>
        <w:top w:val="none" w:sz="0" w:space="0" w:color="auto"/>
        <w:left w:val="none" w:sz="0" w:space="0" w:color="auto"/>
        <w:bottom w:val="none" w:sz="0" w:space="0" w:color="auto"/>
        <w:right w:val="none" w:sz="0" w:space="0" w:color="auto"/>
      </w:divBdr>
      <w:divsChild>
        <w:div w:id="819231224">
          <w:marLeft w:val="0"/>
          <w:marRight w:val="0"/>
          <w:marTop w:val="240"/>
          <w:marBottom w:val="240"/>
          <w:divBdr>
            <w:top w:val="none" w:sz="0" w:space="0" w:color="auto"/>
            <w:left w:val="none" w:sz="0" w:space="0" w:color="auto"/>
            <w:bottom w:val="none" w:sz="0" w:space="0" w:color="auto"/>
            <w:right w:val="none" w:sz="0" w:space="0" w:color="auto"/>
          </w:divBdr>
        </w:div>
        <w:div w:id="1497958961">
          <w:marLeft w:val="0"/>
          <w:marRight w:val="0"/>
          <w:marTop w:val="240"/>
          <w:marBottom w:val="240"/>
          <w:divBdr>
            <w:top w:val="none" w:sz="0" w:space="0" w:color="auto"/>
            <w:left w:val="none" w:sz="0" w:space="0" w:color="auto"/>
            <w:bottom w:val="none" w:sz="0" w:space="0" w:color="auto"/>
            <w:right w:val="none" w:sz="0" w:space="0" w:color="auto"/>
          </w:divBdr>
        </w:div>
      </w:divsChild>
    </w:div>
    <w:div w:id="439763613">
      <w:bodyDiv w:val="1"/>
      <w:marLeft w:val="0"/>
      <w:marRight w:val="0"/>
      <w:marTop w:val="0"/>
      <w:marBottom w:val="0"/>
      <w:divBdr>
        <w:top w:val="none" w:sz="0" w:space="0" w:color="auto"/>
        <w:left w:val="none" w:sz="0" w:space="0" w:color="auto"/>
        <w:bottom w:val="none" w:sz="0" w:space="0" w:color="auto"/>
        <w:right w:val="none" w:sz="0" w:space="0" w:color="auto"/>
      </w:divBdr>
      <w:divsChild>
        <w:div w:id="1092049016">
          <w:marLeft w:val="0"/>
          <w:marRight w:val="0"/>
          <w:marTop w:val="0"/>
          <w:marBottom w:val="0"/>
          <w:divBdr>
            <w:top w:val="none" w:sz="0" w:space="0" w:color="auto"/>
            <w:left w:val="none" w:sz="0" w:space="0" w:color="auto"/>
            <w:bottom w:val="none" w:sz="0" w:space="0" w:color="auto"/>
            <w:right w:val="none" w:sz="0" w:space="0" w:color="auto"/>
          </w:divBdr>
        </w:div>
      </w:divsChild>
    </w:div>
    <w:div w:id="464469318">
      <w:bodyDiv w:val="1"/>
      <w:marLeft w:val="0"/>
      <w:marRight w:val="0"/>
      <w:marTop w:val="0"/>
      <w:marBottom w:val="0"/>
      <w:divBdr>
        <w:top w:val="none" w:sz="0" w:space="0" w:color="auto"/>
        <w:left w:val="none" w:sz="0" w:space="0" w:color="auto"/>
        <w:bottom w:val="none" w:sz="0" w:space="0" w:color="auto"/>
        <w:right w:val="none" w:sz="0" w:space="0" w:color="auto"/>
      </w:divBdr>
      <w:divsChild>
        <w:div w:id="1540585715">
          <w:marLeft w:val="360"/>
          <w:marRight w:val="0"/>
          <w:marTop w:val="200"/>
          <w:marBottom w:val="0"/>
          <w:divBdr>
            <w:top w:val="none" w:sz="0" w:space="0" w:color="auto"/>
            <w:left w:val="none" w:sz="0" w:space="0" w:color="auto"/>
            <w:bottom w:val="none" w:sz="0" w:space="0" w:color="auto"/>
            <w:right w:val="none" w:sz="0" w:space="0" w:color="auto"/>
          </w:divBdr>
        </w:div>
      </w:divsChild>
    </w:div>
    <w:div w:id="596064756">
      <w:bodyDiv w:val="1"/>
      <w:marLeft w:val="0"/>
      <w:marRight w:val="0"/>
      <w:marTop w:val="0"/>
      <w:marBottom w:val="0"/>
      <w:divBdr>
        <w:top w:val="none" w:sz="0" w:space="0" w:color="auto"/>
        <w:left w:val="none" w:sz="0" w:space="0" w:color="auto"/>
        <w:bottom w:val="none" w:sz="0" w:space="0" w:color="auto"/>
        <w:right w:val="none" w:sz="0" w:space="0" w:color="auto"/>
      </w:divBdr>
    </w:div>
    <w:div w:id="659620702">
      <w:bodyDiv w:val="1"/>
      <w:marLeft w:val="0"/>
      <w:marRight w:val="0"/>
      <w:marTop w:val="0"/>
      <w:marBottom w:val="0"/>
      <w:divBdr>
        <w:top w:val="none" w:sz="0" w:space="0" w:color="auto"/>
        <w:left w:val="none" w:sz="0" w:space="0" w:color="auto"/>
        <w:bottom w:val="none" w:sz="0" w:space="0" w:color="auto"/>
        <w:right w:val="none" w:sz="0" w:space="0" w:color="auto"/>
      </w:divBdr>
    </w:div>
    <w:div w:id="749470866">
      <w:bodyDiv w:val="1"/>
      <w:marLeft w:val="0"/>
      <w:marRight w:val="0"/>
      <w:marTop w:val="0"/>
      <w:marBottom w:val="0"/>
      <w:divBdr>
        <w:top w:val="none" w:sz="0" w:space="0" w:color="auto"/>
        <w:left w:val="none" w:sz="0" w:space="0" w:color="auto"/>
        <w:bottom w:val="none" w:sz="0" w:space="0" w:color="auto"/>
        <w:right w:val="none" w:sz="0" w:space="0" w:color="auto"/>
      </w:divBdr>
      <w:divsChild>
        <w:div w:id="1538816320">
          <w:marLeft w:val="360"/>
          <w:marRight w:val="0"/>
          <w:marTop w:val="200"/>
          <w:marBottom w:val="0"/>
          <w:divBdr>
            <w:top w:val="none" w:sz="0" w:space="0" w:color="auto"/>
            <w:left w:val="none" w:sz="0" w:space="0" w:color="auto"/>
            <w:bottom w:val="none" w:sz="0" w:space="0" w:color="auto"/>
            <w:right w:val="none" w:sz="0" w:space="0" w:color="auto"/>
          </w:divBdr>
        </w:div>
      </w:divsChild>
    </w:div>
    <w:div w:id="807864831">
      <w:bodyDiv w:val="1"/>
      <w:marLeft w:val="0"/>
      <w:marRight w:val="0"/>
      <w:marTop w:val="0"/>
      <w:marBottom w:val="0"/>
      <w:divBdr>
        <w:top w:val="none" w:sz="0" w:space="0" w:color="auto"/>
        <w:left w:val="none" w:sz="0" w:space="0" w:color="auto"/>
        <w:bottom w:val="none" w:sz="0" w:space="0" w:color="auto"/>
        <w:right w:val="none" w:sz="0" w:space="0" w:color="auto"/>
      </w:divBdr>
    </w:div>
    <w:div w:id="824398132">
      <w:bodyDiv w:val="1"/>
      <w:marLeft w:val="0"/>
      <w:marRight w:val="0"/>
      <w:marTop w:val="0"/>
      <w:marBottom w:val="0"/>
      <w:divBdr>
        <w:top w:val="none" w:sz="0" w:space="0" w:color="auto"/>
        <w:left w:val="none" w:sz="0" w:space="0" w:color="auto"/>
        <w:bottom w:val="none" w:sz="0" w:space="0" w:color="auto"/>
        <w:right w:val="none" w:sz="0" w:space="0" w:color="auto"/>
      </w:divBdr>
    </w:div>
    <w:div w:id="858740974">
      <w:bodyDiv w:val="1"/>
      <w:marLeft w:val="0"/>
      <w:marRight w:val="0"/>
      <w:marTop w:val="0"/>
      <w:marBottom w:val="0"/>
      <w:divBdr>
        <w:top w:val="none" w:sz="0" w:space="0" w:color="auto"/>
        <w:left w:val="none" w:sz="0" w:space="0" w:color="auto"/>
        <w:bottom w:val="none" w:sz="0" w:space="0" w:color="auto"/>
        <w:right w:val="none" w:sz="0" w:space="0" w:color="auto"/>
      </w:divBdr>
    </w:div>
    <w:div w:id="861745759">
      <w:bodyDiv w:val="1"/>
      <w:marLeft w:val="0"/>
      <w:marRight w:val="0"/>
      <w:marTop w:val="0"/>
      <w:marBottom w:val="0"/>
      <w:divBdr>
        <w:top w:val="none" w:sz="0" w:space="0" w:color="auto"/>
        <w:left w:val="none" w:sz="0" w:space="0" w:color="auto"/>
        <w:bottom w:val="none" w:sz="0" w:space="0" w:color="auto"/>
        <w:right w:val="none" w:sz="0" w:space="0" w:color="auto"/>
      </w:divBdr>
      <w:divsChild>
        <w:div w:id="300887829">
          <w:marLeft w:val="0"/>
          <w:marRight w:val="0"/>
          <w:marTop w:val="0"/>
          <w:marBottom w:val="0"/>
          <w:divBdr>
            <w:top w:val="none" w:sz="0" w:space="0" w:color="auto"/>
            <w:left w:val="none" w:sz="0" w:space="0" w:color="auto"/>
            <w:bottom w:val="none" w:sz="0" w:space="0" w:color="auto"/>
            <w:right w:val="none" w:sz="0" w:space="0" w:color="auto"/>
          </w:divBdr>
        </w:div>
        <w:div w:id="1568227348">
          <w:marLeft w:val="0"/>
          <w:marRight w:val="0"/>
          <w:marTop w:val="240"/>
          <w:marBottom w:val="240"/>
          <w:divBdr>
            <w:top w:val="none" w:sz="0" w:space="0" w:color="auto"/>
            <w:left w:val="none" w:sz="0" w:space="0" w:color="auto"/>
            <w:bottom w:val="none" w:sz="0" w:space="0" w:color="auto"/>
            <w:right w:val="none" w:sz="0" w:space="0" w:color="auto"/>
          </w:divBdr>
        </w:div>
        <w:div w:id="1309283065">
          <w:marLeft w:val="0"/>
          <w:marRight w:val="0"/>
          <w:marTop w:val="240"/>
          <w:marBottom w:val="240"/>
          <w:divBdr>
            <w:top w:val="none" w:sz="0" w:space="0" w:color="auto"/>
            <w:left w:val="none" w:sz="0" w:space="0" w:color="auto"/>
            <w:bottom w:val="none" w:sz="0" w:space="0" w:color="auto"/>
            <w:right w:val="none" w:sz="0" w:space="0" w:color="auto"/>
          </w:divBdr>
        </w:div>
        <w:div w:id="1568222619">
          <w:marLeft w:val="0"/>
          <w:marRight w:val="0"/>
          <w:marTop w:val="240"/>
          <w:marBottom w:val="240"/>
          <w:divBdr>
            <w:top w:val="none" w:sz="0" w:space="0" w:color="auto"/>
            <w:left w:val="none" w:sz="0" w:space="0" w:color="auto"/>
            <w:bottom w:val="none" w:sz="0" w:space="0" w:color="auto"/>
            <w:right w:val="none" w:sz="0" w:space="0" w:color="auto"/>
          </w:divBdr>
        </w:div>
      </w:divsChild>
    </w:div>
    <w:div w:id="1008557430">
      <w:bodyDiv w:val="1"/>
      <w:marLeft w:val="0"/>
      <w:marRight w:val="0"/>
      <w:marTop w:val="0"/>
      <w:marBottom w:val="0"/>
      <w:divBdr>
        <w:top w:val="none" w:sz="0" w:space="0" w:color="auto"/>
        <w:left w:val="none" w:sz="0" w:space="0" w:color="auto"/>
        <w:bottom w:val="none" w:sz="0" w:space="0" w:color="auto"/>
        <w:right w:val="none" w:sz="0" w:space="0" w:color="auto"/>
      </w:divBdr>
      <w:divsChild>
        <w:div w:id="1552883655">
          <w:marLeft w:val="0"/>
          <w:marRight w:val="0"/>
          <w:marTop w:val="0"/>
          <w:marBottom w:val="0"/>
          <w:divBdr>
            <w:top w:val="none" w:sz="0" w:space="0" w:color="auto"/>
            <w:left w:val="none" w:sz="0" w:space="0" w:color="auto"/>
            <w:bottom w:val="none" w:sz="0" w:space="0" w:color="auto"/>
            <w:right w:val="none" w:sz="0" w:space="0" w:color="auto"/>
          </w:divBdr>
        </w:div>
        <w:div w:id="519856666">
          <w:marLeft w:val="0"/>
          <w:marRight w:val="0"/>
          <w:marTop w:val="240"/>
          <w:marBottom w:val="240"/>
          <w:divBdr>
            <w:top w:val="none" w:sz="0" w:space="0" w:color="auto"/>
            <w:left w:val="none" w:sz="0" w:space="0" w:color="auto"/>
            <w:bottom w:val="none" w:sz="0" w:space="0" w:color="auto"/>
            <w:right w:val="none" w:sz="0" w:space="0" w:color="auto"/>
          </w:divBdr>
        </w:div>
        <w:div w:id="433983359">
          <w:marLeft w:val="0"/>
          <w:marRight w:val="0"/>
          <w:marTop w:val="240"/>
          <w:marBottom w:val="240"/>
          <w:divBdr>
            <w:top w:val="none" w:sz="0" w:space="0" w:color="auto"/>
            <w:left w:val="none" w:sz="0" w:space="0" w:color="auto"/>
            <w:bottom w:val="none" w:sz="0" w:space="0" w:color="auto"/>
            <w:right w:val="none" w:sz="0" w:space="0" w:color="auto"/>
          </w:divBdr>
        </w:div>
        <w:div w:id="2144809278">
          <w:marLeft w:val="0"/>
          <w:marRight w:val="0"/>
          <w:marTop w:val="240"/>
          <w:marBottom w:val="240"/>
          <w:divBdr>
            <w:top w:val="none" w:sz="0" w:space="0" w:color="auto"/>
            <w:left w:val="none" w:sz="0" w:space="0" w:color="auto"/>
            <w:bottom w:val="none" w:sz="0" w:space="0" w:color="auto"/>
            <w:right w:val="none" w:sz="0" w:space="0" w:color="auto"/>
          </w:divBdr>
        </w:div>
      </w:divsChild>
    </w:div>
    <w:div w:id="1190333614">
      <w:bodyDiv w:val="1"/>
      <w:marLeft w:val="0"/>
      <w:marRight w:val="0"/>
      <w:marTop w:val="0"/>
      <w:marBottom w:val="0"/>
      <w:divBdr>
        <w:top w:val="none" w:sz="0" w:space="0" w:color="auto"/>
        <w:left w:val="none" w:sz="0" w:space="0" w:color="auto"/>
        <w:bottom w:val="none" w:sz="0" w:space="0" w:color="auto"/>
        <w:right w:val="none" w:sz="0" w:space="0" w:color="auto"/>
      </w:divBdr>
    </w:div>
    <w:div w:id="1193768087">
      <w:bodyDiv w:val="1"/>
      <w:marLeft w:val="0"/>
      <w:marRight w:val="0"/>
      <w:marTop w:val="0"/>
      <w:marBottom w:val="0"/>
      <w:divBdr>
        <w:top w:val="none" w:sz="0" w:space="0" w:color="auto"/>
        <w:left w:val="none" w:sz="0" w:space="0" w:color="auto"/>
        <w:bottom w:val="none" w:sz="0" w:space="0" w:color="auto"/>
        <w:right w:val="none" w:sz="0" w:space="0" w:color="auto"/>
      </w:divBdr>
    </w:div>
    <w:div w:id="1214581396">
      <w:bodyDiv w:val="1"/>
      <w:marLeft w:val="0"/>
      <w:marRight w:val="0"/>
      <w:marTop w:val="0"/>
      <w:marBottom w:val="0"/>
      <w:divBdr>
        <w:top w:val="none" w:sz="0" w:space="0" w:color="auto"/>
        <w:left w:val="none" w:sz="0" w:space="0" w:color="auto"/>
        <w:bottom w:val="none" w:sz="0" w:space="0" w:color="auto"/>
        <w:right w:val="none" w:sz="0" w:space="0" w:color="auto"/>
      </w:divBdr>
    </w:div>
    <w:div w:id="1216315004">
      <w:bodyDiv w:val="1"/>
      <w:marLeft w:val="0"/>
      <w:marRight w:val="0"/>
      <w:marTop w:val="0"/>
      <w:marBottom w:val="0"/>
      <w:divBdr>
        <w:top w:val="none" w:sz="0" w:space="0" w:color="auto"/>
        <w:left w:val="none" w:sz="0" w:space="0" w:color="auto"/>
        <w:bottom w:val="none" w:sz="0" w:space="0" w:color="auto"/>
        <w:right w:val="none" w:sz="0" w:space="0" w:color="auto"/>
      </w:divBdr>
    </w:div>
    <w:div w:id="1235161602">
      <w:bodyDiv w:val="1"/>
      <w:marLeft w:val="0"/>
      <w:marRight w:val="0"/>
      <w:marTop w:val="0"/>
      <w:marBottom w:val="0"/>
      <w:divBdr>
        <w:top w:val="none" w:sz="0" w:space="0" w:color="auto"/>
        <w:left w:val="none" w:sz="0" w:space="0" w:color="auto"/>
        <w:bottom w:val="none" w:sz="0" w:space="0" w:color="auto"/>
        <w:right w:val="none" w:sz="0" w:space="0" w:color="auto"/>
      </w:divBdr>
    </w:div>
    <w:div w:id="1240990877">
      <w:bodyDiv w:val="1"/>
      <w:marLeft w:val="0"/>
      <w:marRight w:val="0"/>
      <w:marTop w:val="0"/>
      <w:marBottom w:val="0"/>
      <w:divBdr>
        <w:top w:val="none" w:sz="0" w:space="0" w:color="auto"/>
        <w:left w:val="none" w:sz="0" w:space="0" w:color="auto"/>
        <w:bottom w:val="none" w:sz="0" w:space="0" w:color="auto"/>
        <w:right w:val="none" w:sz="0" w:space="0" w:color="auto"/>
      </w:divBdr>
      <w:divsChild>
        <w:div w:id="1293440229">
          <w:marLeft w:val="0"/>
          <w:marRight w:val="0"/>
          <w:marTop w:val="0"/>
          <w:marBottom w:val="0"/>
          <w:divBdr>
            <w:top w:val="none" w:sz="0" w:space="0" w:color="auto"/>
            <w:left w:val="none" w:sz="0" w:space="0" w:color="auto"/>
            <w:bottom w:val="none" w:sz="0" w:space="0" w:color="auto"/>
            <w:right w:val="none" w:sz="0" w:space="0" w:color="auto"/>
          </w:divBdr>
        </w:div>
        <w:div w:id="74672318">
          <w:marLeft w:val="0"/>
          <w:marRight w:val="0"/>
          <w:marTop w:val="240"/>
          <w:marBottom w:val="240"/>
          <w:divBdr>
            <w:top w:val="none" w:sz="0" w:space="0" w:color="auto"/>
            <w:left w:val="none" w:sz="0" w:space="0" w:color="auto"/>
            <w:bottom w:val="none" w:sz="0" w:space="0" w:color="auto"/>
            <w:right w:val="none" w:sz="0" w:space="0" w:color="auto"/>
          </w:divBdr>
        </w:div>
        <w:div w:id="1427731672">
          <w:marLeft w:val="0"/>
          <w:marRight w:val="0"/>
          <w:marTop w:val="240"/>
          <w:marBottom w:val="240"/>
          <w:divBdr>
            <w:top w:val="none" w:sz="0" w:space="0" w:color="auto"/>
            <w:left w:val="none" w:sz="0" w:space="0" w:color="auto"/>
            <w:bottom w:val="none" w:sz="0" w:space="0" w:color="auto"/>
            <w:right w:val="none" w:sz="0" w:space="0" w:color="auto"/>
          </w:divBdr>
        </w:div>
        <w:div w:id="829251259">
          <w:marLeft w:val="0"/>
          <w:marRight w:val="0"/>
          <w:marTop w:val="240"/>
          <w:marBottom w:val="240"/>
          <w:divBdr>
            <w:top w:val="none" w:sz="0" w:space="0" w:color="auto"/>
            <w:left w:val="none" w:sz="0" w:space="0" w:color="auto"/>
            <w:bottom w:val="none" w:sz="0" w:space="0" w:color="auto"/>
            <w:right w:val="none" w:sz="0" w:space="0" w:color="auto"/>
          </w:divBdr>
        </w:div>
      </w:divsChild>
    </w:div>
    <w:div w:id="1257136299">
      <w:bodyDiv w:val="1"/>
      <w:marLeft w:val="0"/>
      <w:marRight w:val="0"/>
      <w:marTop w:val="0"/>
      <w:marBottom w:val="0"/>
      <w:divBdr>
        <w:top w:val="none" w:sz="0" w:space="0" w:color="auto"/>
        <w:left w:val="none" w:sz="0" w:space="0" w:color="auto"/>
        <w:bottom w:val="none" w:sz="0" w:space="0" w:color="auto"/>
        <w:right w:val="none" w:sz="0" w:space="0" w:color="auto"/>
      </w:divBdr>
      <w:divsChild>
        <w:div w:id="929629843">
          <w:marLeft w:val="0"/>
          <w:marRight w:val="0"/>
          <w:marTop w:val="0"/>
          <w:marBottom w:val="0"/>
          <w:divBdr>
            <w:top w:val="none" w:sz="0" w:space="0" w:color="auto"/>
            <w:left w:val="none" w:sz="0" w:space="0" w:color="auto"/>
            <w:bottom w:val="none" w:sz="0" w:space="0" w:color="auto"/>
            <w:right w:val="none" w:sz="0" w:space="0" w:color="auto"/>
          </w:divBdr>
        </w:div>
      </w:divsChild>
    </w:div>
    <w:div w:id="1276673223">
      <w:bodyDiv w:val="1"/>
      <w:marLeft w:val="0"/>
      <w:marRight w:val="0"/>
      <w:marTop w:val="0"/>
      <w:marBottom w:val="0"/>
      <w:divBdr>
        <w:top w:val="none" w:sz="0" w:space="0" w:color="auto"/>
        <w:left w:val="none" w:sz="0" w:space="0" w:color="auto"/>
        <w:bottom w:val="none" w:sz="0" w:space="0" w:color="auto"/>
        <w:right w:val="none" w:sz="0" w:space="0" w:color="auto"/>
      </w:divBdr>
    </w:div>
    <w:div w:id="1292059584">
      <w:bodyDiv w:val="1"/>
      <w:marLeft w:val="0"/>
      <w:marRight w:val="0"/>
      <w:marTop w:val="0"/>
      <w:marBottom w:val="0"/>
      <w:divBdr>
        <w:top w:val="none" w:sz="0" w:space="0" w:color="auto"/>
        <w:left w:val="none" w:sz="0" w:space="0" w:color="auto"/>
        <w:bottom w:val="none" w:sz="0" w:space="0" w:color="auto"/>
        <w:right w:val="none" w:sz="0" w:space="0" w:color="auto"/>
      </w:divBdr>
    </w:div>
    <w:div w:id="1312177188">
      <w:bodyDiv w:val="1"/>
      <w:marLeft w:val="0"/>
      <w:marRight w:val="0"/>
      <w:marTop w:val="0"/>
      <w:marBottom w:val="0"/>
      <w:divBdr>
        <w:top w:val="none" w:sz="0" w:space="0" w:color="auto"/>
        <w:left w:val="none" w:sz="0" w:space="0" w:color="auto"/>
        <w:bottom w:val="none" w:sz="0" w:space="0" w:color="auto"/>
        <w:right w:val="none" w:sz="0" w:space="0" w:color="auto"/>
      </w:divBdr>
    </w:div>
    <w:div w:id="1378236730">
      <w:bodyDiv w:val="1"/>
      <w:marLeft w:val="0"/>
      <w:marRight w:val="0"/>
      <w:marTop w:val="0"/>
      <w:marBottom w:val="0"/>
      <w:divBdr>
        <w:top w:val="none" w:sz="0" w:space="0" w:color="auto"/>
        <w:left w:val="none" w:sz="0" w:space="0" w:color="auto"/>
        <w:bottom w:val="none" w:sz="0" w:space="0" w:color="auto"/>
        <w:right w:val="none" w:sz="0" w:space="0" w:color="auto"/>
      </w:divBdr>
    </w:div>
    <w:div w:id="1393890122">
      <w:bodyDiv w:val="1"/>
      <w:marLeft w:val="0"/>
      <w:marRight w:val="0"/>
      <w:marTop w:val="0"/>
      <w:marBottom w:val="0"/>
      <w:divBdr>
        <w:top w:val="none" w:sz="0" w:space="0" w:color="auto"/>
        <w:left w:val="none" w:sz="0" w:space="0" w:color="auto"/>
        <w:bottom w:val="none" w:sz="0" w:space="0" w:color="auto"/>
        <w:right w:val="none" w:sz="0" w:space="0" w:color="auto"/>
      </w:divBdr>
    </w:div>
    <w:div w:id="1454594019">
      <w:bodyDiv w:val="1"/>
      <w:marLeft w:val="0"/>
      <w:marRight w:val="0"/>
      <w:marTop w:val="0"/>
      <w:marBottom w:val="0"/>
      <w:divBdr>
        <w:top w:val="none" w:sz="0" w:space="0" w:color="auto"/>
        <w:left w:val="none" w:sz="0" w:space="0" w:color="auto"/>
        <w:bottom w:val="none" w:sz="0" w:space="0" w:color="auto"/>
        <w:right w:val="none" w:sz="0" w:space="0" w:color="auto"/>
      </w:divBdr>
    </w:div>
    <w:div w:id="1461419390">
      <w:bodyDiv w:val="1"/>
      <w:marLeft w:val="0"/>
      <w:marRight w:val="0"/>
      <w:marTop w:val="0"/>
      <w:marBottom w:val="0"/>
      <w:divBdr>
        <w:top w:val="none" w:sz="0" w:space="0" w:color="auto"/>
        <w:left w:val="none" w:sz="0" w:space="0" w:color="auto"/>
        <w:bottom w:val="none" w:sz="0" w:space="0" w:color="auto"/>
        <w:right w:val="none" w:sz="0" w:space="0" w:color="auto"/>
      </w:divBdr>
      <w:divsChild>
        <w:div w:id="1798142444">
          <w:marLeft w:val="0"/>
          <w:marRight w:val="0"/>
          <w:marTop w:val="0"/>
          <w:marBottom w:val="0"/>
          <w:divBdr>
            <w:top w:val="none" w:sz="0" w:space="0" w:color="auto"/>
            <w:left w:val="none" w:sz="0" w:space="0" w:color="auto"/>
            <w:bottom w:val="none" w:sz="0" w:space="0" w:color="auto"/>
            <w:right w:val="none" w:sz="0" w:space="0" w:color="auto"/>
          </w:divBdr>
        </w:div>
        <w:div w:id="1896157930">
          <w:marLeft w:val="0"/>
          <w:marRight w:val="0"/>
          <w:marTop w:val="240"/>
          <w:marBottom w:val="240"/>
          <w:divBdr>
            <w:top w:val="none" w:sz="0" w:space="0" w:color="auto"/>
            <w:left w:val="none" w:sz="0" w:space="0" w:color="auto"/>
            <w:bottom w:val="none" w:sz="0" w:space="0" w:color="auto"/>
            <w:right w:val="none" w:sz="0" w:space="0" w:color="auto"/>
          </w:divBdr>
        </w:div>
        <w:div w:id="618873734">
          <w:marLeft w:val="0"/>
          <w:marRight w:val="0"/>
          <w:marTop w:val="240"/>
          <w:marBottom w:val="240"/>
          <w:divBdr>
            <w:top w:val="none" w:sz="0" w:space="0" w:color="auto"/>
            <w:left w:val="none" w:sz="0" w:space="0" w:color="auto"/>
            <w:bottom w:val="none" w:sz="0" w:space="0" w:color="auto"/>
            <w:right w:val="none" w:sz="0" w:space="0" w:color="auto"/>
          </w:divBdr>
        </w:div>
        <w:div w:id="349795855">
          <w:marLeft w:val="0"/>
          <w:marRight w:val="0"/>
          <w:marTop w:val="240"/>
          <w:marBottom w:val="240"/>
          <w:divBdr>
            <w:top w:val="none" w:sz="0" w:space="0" w:color="auto"/>
            <w:left w:val="none" w:sz="0" w:space="0" w:color="auto"/>
            <w:bottom w:val="none" w:sz="0" w:space="0" w:color="auto"/>
            <w:right w:val="none" w:sz="0" w:space="0" w:color="auto"/>
          </w:divBdr>
        </w:div>
      </w:divsChild>
    </w:div>
    <w:div w:id="1479960404">
      <w:bodyDiv w:val="1"/>
      <w:marLeft w:val="0"/>
      <w:marRight w:val="0"/>
      <w:marTop w:val="0"/>
      <w:marBottom w:val="0"/>
      <w:divBdr>
        <w:top w:val="none" w:sz="0" w:space="0" w:color="auto"/>
        <w:left w:val="none" w:sz="0" w:space="0" w:color="auto"/>
        <w:bottom w:val="none" w:sz="0" w:space="0" w:color="auto"/>
        <w:right w:val="none" w:sz="0" w:space="0" w:color="auto"/>
      </w:divBdr>
    </w:div>
    <w:div w:id="1523087826">
      <w:bodyDiv w:val="1"/>
      <w:marLeft w:val="0"/>
      <w:marRight w:val="0"/>
      <w:marTop w:val="0"/>
      <w:marBottom w:val="0"/>
      <w:divBdr>
        <w:top w:val="none" w:sz="0" w:space="0" w:color="auto"/>
        <w:left w:val="none" w:sz="0" w:space="0" w:color="auto"/>
        <w:bottom w:val="none" w:sz="0" w:space="0" w:color="auto"/>
        <w:right w:val="none" w:sz="0" w:space="0" w:color="auto"/>
      </w:divBdr>
    </w:div>
    <w:div w:id="1599215010">
      <w:bodyDiv w:val="1"/>
      <w:marLeft w:val="0"/>
      <w:marRight w:val="0"/>
      <w:marTop w:val="0"/>
      <w:marBottom w:val="0"/>
      <w:divBdr>
        <w:top w:val="none" w:sz="0" w:space="0" w:color="auto"/>
        <w:left w:val="none" w:sz="0" w:space="0" w:color="auto"/>
        <w:bottom w:val="none" w:sz="0" w:space="0" w:color="auto"/>
        <w:right w:val="none" w:sz="0" w:space="0" w:color="auto"/>
      </w:divBdr>
    </w:div>
    <w:div w:id="1639412197">
      <w:bodyDiv w:val="1"/>
      <w:marLeft w:val="0"/>
      <w:marRight w:val="0"/>
      <w:marTop w:val="0"/>
      <w:marBottom w:val="0"/>
      <w:divBdr>
        <w:top w:val="none" w:sz="0" w:space="0" w:color="auto"/>
        <w:left w:val="none" w:sz="0" w:space="0" w:color="auto"/>
        <w:bottom w:val="none" w:sz="0" w:space="0" w:color="auto"/>
        <w:right w:val="none" w:sz="0" w:space="0" w:color="auto"/>
      </w:divBdr>
    </w:div>
    <w:div w:id="1668360316">
      <w:bodyDiv w:val="1"/>
      <w:marLeft w:val="0"/>
      <w:marRight w:val="0"/>
      <w:marTop w:val="0"/>
      <w:marBottom w:val="0"/>
      <w:divBdr>
        <w:top w:val="none" w:sz="0" w:space="0" w:color="auto"/>
        <w:left w:val="none" w:sz="0" w:space="0" w:color="auto"/>
        <w:bottom w:val="none" w:sz="0" w:space="0" w:color="auto"/>
        <w:right w:val="none" w:sz="0" w:space="0" w:color="auto"/>
      </w:divBdr>
      <w:divsChild>
        <w:div w:id="912740534">
          <w:marLeft w:val="0"/>
          <w:marRight w:val="0"/>
          <w:marTop w:val="0"/>
          <w:marBottom w:val="0"/>
          <w:divBdr>
            <w:top w:val="none" w:sz="0" w:space="0" w:color="auto"/>
            <w:left w:val="none" w:sz="0" w:space="0" w:color="auto"/>
            <w:bottom w:val="none" w:sz="0" w:space="0" w:color="auto"/>
            <w:right w:val="none" w:sz="0" w:space="0" w:color="auto"/>
          </w:divBdr>
        </w:div>
      </w:divsChild>
    </w:div>
    <w:div w:id="1698191260">
      <w:bodyDiv w:val="1"/>
      <w:marLeft w:val="0"/>
      <w:marRight w:val="0"/>
      <w:marTop w:val="0"/>
      <w:marBottom w:val="0"/>
      <w:divBdr>
        <w:top w:val="none" w:sz="0" w:space="0" w:color="auto"/>
        <w:left w:val="none" w:sz="0" w:space="0" w:color="auto"/>
        <w:bottom w:val="none" w:sz="0" w:space="0" w:color="auto"/>
        <w:right w:val="none" w:sz="0" w:space="0" w:color="auto"/>
      </w:divBdr>
    </w:div>
    <w:div w:id="1726487696">
      <w:bodyDiv w:val="1"/>
      <w:marLeft w:val="0"/>
      <w:marRight w:val="0"/>
      <w:marTop w:val="0"/>
      <w:marBottom w:val="0"/>
      <w:divBdr>
        <w:top w:val="none" w:sz="0" w:space="0" w:color="auto"/>
        <w:left w:val="none" w:sz="0" w:space="0" w:color="auto"/>
        <w:bottom w:val="none" w:sz="0" w:space="0" w:color="auto"/>
        <w:right w:val="none" w:sz="0" w:space="0" w:color="auto"/>
      </w:divBdr>
    </w:div>
    <w:div w:id="1762143913">
      <w:bodyDiv w:val="1"/>
      <w:marLeft w:val="0"/>
      <w:marRight w:val="0"/>
      <w:marTop w:val="0"/>
      <w:marBottom w:val="0"/>
      <w:divBdr>
        <w:top w:val="none" w:sz="0" w:space="0" w:color="auto"/>
        <w:left w:val="none" w:sz="0" w:space="0" w:color="auto"/>
        <w:bottom w:val="none" w:sz="0" w:space="0" w:color="auto"/>
        <w:right w:val="none" w:sz="0" w:space="0" w:color="auto"/>
      </w:divBdr>
    </w:div>
    <w:div w:id="1969047137">
      <w:bodyDiv w:val="1"/>
      <w:marLeft w:val="0"/>
      <w:marRight w:val="0"/>
      <w:marTop w:val="0"/>
      <w:marBottom w:val="0"/>
      <w:divBdr>
        <w:top w:val="none" w:sz="0" w:space="0" w:color="auto"/>
        <w:left w:val="none" w:sz="0" w:space="0" w:color="auto"/>
        <w:bottom w:val="none" w:sz="0" w:space="0" w:color="auto"/>
        <w:right w:val="none" w:sz="0" w:space="0" w:color="auto"/>
      </w:divBdr>
      <w:divsChild>
        <w:div w:id="743069734">
          <w:marLeft w:val="0"/>
          <w:marRight w:val="0"/>
          <w:marTop w:val="0"/>
          <w:marBottom w:val="0"/>
          <w:divBdr>
            <w:top w:val="none" w:sz="0" w:space="0" w:color="auto"/>
            <w:left w:val="none" w:sz="0" w:space="0" w:color="auto"/>
            <w:bottom w:val="none" w:sz="0" w:space="0" w:color="auto"/>
            <w:right w:val="none" w:sz="0" w:space="0" w:color="auto"/>
          </w:divBdr>
        </w:div>
        <w:div w:id="1425033320">
          <w:marLeft w:val="0"/>
          <w:marRight w:val="0"/>
          <w:marTop w:val="240"/>
          <w:marBottom w:val="240"/>
          <w:divBdr>
            <w:top w:val="none" w:sz="0" w:space="0" w:color="auto"/>
            <w:left w:val="none" w:sz="0" w:space="0" w:color="auto"/>
            <w:bottom w:val="none" w:sz="0" w:space="0" w:color="auto"/>
            <w:right w:val="none" w:sz="0" w:space="0" w:color="auto"/>
          </w:divBdr>
        </w:div>
        <w:div w:id="1688556567">
          <w:marLeft w:val="0"/>
          <w:marRight w:val="0"/>
          <w:marTop w:val="240"/>
          <w:marBottom w:val="240"/>
          <w:divBdr>
            <w:top w:val="none" w:sz="0" w:space="0" w:color="auto"/>
            <w:left w:val="none" w:sz="0" w:space="0" w:color="auto"/>
            <w:bottom w:val="none" w:sz="0" w:space="0" w:color="auto"/>
            <w:right w:val="none" w:sz="0" w:space="0" w:color="auto"/>
          </w:divBdr>
        </w:div>
        <w:div w:id="220602039">
          <w:marLeft w:val="0"/>
          <w:marRight w:val="0"/>
          <w:marTop w:val="240"/>
          <w:marBottom w:val="240"/>
          <w:divBdr>
            <w:top w:val="none" w:sz="0" w:space="0" w:color="auto"/>
            <w:left w:val="none" w:sz="0" w:space="0" w:color="auto"/>
            <w:bottom w:val="none" w:sz="0" w:space="0" w:color="auto"/>
            <w:right w:val="none" w:sz="0" w:space="0" w:color="auto"/>
          </w:divBdr>
        </w:div>
      </w:divsChild>
    </w:div>
    <w:div w:id="1969582578">
      <w:bodyDiv w:val="1"/>
      <w:marLeft w:val="0"/>
      <w:marRight w:val="0"/>
      <w:marTop w:val="0"/>
      <w:marBottom w:val="0"/>
      <w:divBdr>
        <w:top w:val="none" w:sz="0" w:space="0" w:color="auto"/>
        <w:left w:val="none" w:sz="0" w:space="0" w:color="auto"/>
        <w:bottom w:val="none" w:sz="0" w:space="0" w:color="auto"/>
        <w:right w:val="none" w:sz="0" w:space="0" w:color="auto"/>
      </w:divBdr>
    </w:div>
    <w:div w:id="1995375210">
      <w:bodyDiv w:val="1"/>
      <w:marLeft w:val="0"/>
      <w:marRight w:val="0"/>
      <w:marTop w:val="0"/>
      <w:marBottom w:val="0"/>
      <w:divBdr>
        <w:top w:val="none" w:sz="0" w:space="0" w:color="auto"/>
        <w:left w:val="none" w:sz="0" w:space="0" w:color="auto"/>
        <w:bottom w:val="none" w:sz="0" w:space="0" w:color="auto"/>
        <w:right w:val="none" w:sz="0" w:space="0" w:color="auto"/>
      </w:divBdr>
      <w:divsChild>
        <w:div w:id="1411384368">
          <w:marLeft w:val="0"/>
          <w:marRight w:val="0"/>
          <w:marTop w:val="240"/>
          <w:marBottom w:val="240"/>
          <w:divBdr>
            <w:top w:val="none" w:sz="0" w:space="0" w:color="auto"/>
            <w:left w:val="none" w:sz="0" w:space="0" w:color="auto"/>
            <w:bottom w:val="none" w:sz="0" w:space="0" w:color="auto"/>
            <w:right w:val="none" w:sz="0" w:space="0" w:color="auto"/>
          </w:divBdr>
        </w:div>
        <w:div w:id="624851746">
          <w:marLeft w:val="0"/>
          <w:marRight w:val="0"/>
          <w:marTop w:val="240"/>
          <w:marBottom w:val="240"/>
          <w:divBdr>
            <w:top w:val="none" w:sz="0" w:space="0" w:color="auto"/>
            <w:left w:val="none" w:sz="0" w:space="0" w:color="auto"/>
            <w:bottom w:val="none" w:sz="0" w:space="0" w:color="auto"/>
            <w:right w:val="none" w:sz="0" w:space="0" w:color="auto"/>
          </w:divBdr>
        </w:div>
      </w:divsChild>
    </w:div>
    <w:div w:id="1998604320">
      <w:bodyDiv w:val="1"/>
      <w:marLeft w:val="0"/>
      <w:marRight w:val="0"/>
      <w:marTop w:val="0"/>
      <w:marBottom w:val="0"/>
      <w:divBdr>
        <w:top w:val="none" w:sz="0" w:space="0" w:color="auto"/>
        <w:left w:val="none" w:sz="0" w:space="0" w:color="auto"/>
        <w:bottom w:val="none" w:sz="0" w:space="0" w:color="auto"/>
        <w:right w:val="none" w:sz="0" w:space="0" w:color="auto"/>
      </w:divBdr>
      <w:divsChild>
        <w:div w:id="1764522402">
          <w:marLeft w:val="0"/>
          <w:marRight w:val="0"/>
          <w:marTop w:val="0"/>
          <w:marBottom w:val="0"/>
          <w:divBdr>
            <w:top w:val="none" w:sz="0" w:space="0" w:color="auto"/>
            <w:left w:val="none" w:sz="0" w:space="0" w:color="auto"/>
            <w:bottom w:val="none" w:sz="0" w:space="0" w:color="auto"/>
            <w:right w:val="none" w:sz="0" w:space="0" w:color="auto"/>
          </w:divBdr>
        </w:div>
      </w:divsChild>
    </w:div>
    <w:div w:id="2012876830">
      <w:bodyDiv w:val="1"/>
      <w:marLeft w:val="0"/>
      <w:marRight w:val="0"/>
      <w:marTop w:val="0"/>
      <w:marBottom w:val="0"/>
      <w:divBdr>
        <w:top w:val="none" w:sz="0" w:space="0" w:color="auto"/>
        <w:left w:val="none" w:sz="0" w:space="0" w:color="auto"/>
        <w:bottom w:val="none" w:sz="0" w:space="0" w:color="auto"/>
        <w:right w:val="none" w:sz="0" w:space="0" w:color="auto"/>
      </w:divBdr>
    </w:div>
    <w:div w:id="2140220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v-test.org/en/antivirus/home-window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av-test.org/en/antivirus/business-windows-client/" TargetMode="Externa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8C73F-2059-41E4-B1B4-9CCBF9A5C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1615</Words>
  <Characters>8497</Characters>
  <Application>Microsoft Office Word</Application>
  <DocSecurity>0</DocSecurity>
  <Lines>119</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dc:creator>
  <cp:lastModifiedBy>Markus Selinger</cp:lastModifiedBy>
  <cp:revision>7</cp:revision>
  <dcterms:created xsi:type="dcterms:W3CDTF">2026-04-20T15:01:00Z</dcterms:created>
  <dcterms:modified xsi:type="dcterms:W3CDTF">2026-04-28T09:40:00Z</dcterms:modified>
</cp:coreProperties>
</file>