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592CD" w14:textId="4CBE5900" w:rsidR="009A3581" w:rsidRDefault="00E9360A">
      <w:pPr>
        <w:ind w:right="226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ATP: </w:t>
      </w:r>
      <w:r w:rsidR="00720E74">
        <w:rPr>
          <w:b/>
          <w:bCs/>
          <w:sz w:val="28"/>
          <w:szCs w:val="28"/>
        </w:rPr>
        <w:t>Livetest gegen Datendiebstahl</w:t>
      </w:r>
      <w:r>
        <w:rPr>
          <w:b/>
          <w:bCs/>
          <w:sz w:val="28"/>
          <w:szCs w:val="28"/>
        </w:rPr>
        <w:t>-</w:t>
      </w:r>
      <w:r w:rsidR="00720E74">
        <w:rPr>
          <w:b/>
          <w:bCs/>
          <w:sz w:val="28"/>
          <w:szCs w:val="28"/>
        </w:rPr>
        <w:t xml:space="preserve"> und Verschlüss</w:t>
      </w:r>
      <w:r>
        <w:rPr>
          <w:b/>
          <w:bCs/>
          <w:sz w:val="28"/>
          <w:szCs w:val="28"/>
        </w:rPr>
        <w:t>elungs-Malware</w:t>
      </w:r>
    </w:p>
    <w:p w14:paraId="335CBF0E" w14:textId="4C307F8F" w:rsidR="00A518C7" w:rsidRDefault="00A718C4" w:rsidP="00825541">
      <w:pPr>
        <w:ind w:right="2268"/>
        <w:rPr>
          <w:b/>
          <w:bCs/>
        </w:rPr>
      </w:pPr>
      <w:r w:rsidRPr="00A718C4">
        <w:rPr>
          <w:b/>
          <w:bCs/>
        </w:rPr>
        <w:t xml:space="preserve">Bei privaten Nutzern sind </w:t>
      </w:r>
      <w:r w:rsidR="00BA6850">
        <w:rPr>
          <w:b/>
          <w:bCs/>
        </w:rPr>
        <w:t xml:space="preserve">oft </w:t>
      </w:r>
      <w:r>
        <w:rPr>
          <w:b/>
          <w:bCs/>
        </w:rPr>
        <w:t xml:space="preserve">alle Urlaubsfotos und weitere Erinnerungen verloren </w:t>
      </w:r>
      <w:r w:rsidR="00A3410E">
        <w:rPr>
          <w:b/>
          <w:bCs/>
        </w:rPr>
        <w:t>–</w:t>
      </w:r>
      <w:r w:rsidR="00DB181A">
        <w:rPr>
          <w:b/>
          <w:bCs/>
        </w:rPr>
        <w:t xml:space="preserve"> b</w:t>
      </w:r>
      <w:r w:rsidR="00D435FB" w:rsidRPr="00A718C4">
        <w:rPr>
          <w:b/>
          <w:bCs/>
        </w:rPr>
        <w:t xml:space="preserve">ei Unternehmen </w:t>
      </w:r>
      <w:r w:rsidR="00DB181A">
        <w:rPr>
          <w:b/>
          <w:bCs/>
        </w:rPr>
        <w:t xml:space="preserve">steht teils die ganze Existenz auf dem Spiel. </w:t>
      </w:r>
      <w:r w:rsidR="00176FF9">
        <w:rPr>
          <w:b/>
          <w:bCs/>
        </w:rPr>
        <w:t>Wenn Infostealer oder Ransomware zuschlagen</w:t>
      </w:r>
      <w:r w:rsidR="00A518C7">
        <w:rPr>
          <w:b/>
          <w:bCs/>
        </w:rPr>
        <w:t>,</w:t>
      </w:r>
      <w:r w:rsidR="00176FF9">
        <w:rPr>
          <w:b/>
          <w:bCs/>
        </w:rPr>
        <w:t xml:space="preserve"> landen Daten </w:t>
      </w:r>
      <w:r w:rsidR="000B463F">
        <w:rPr>
          <w:b/>
          <w:bCs/>
        </w:rPr>
        <w:t xml:space="preserve">in fremden Händen oder sind professionell hochgradig verschlüsselt. </w:t>
      </w:r>
      <w:r w:rsidR="00874957">
        <w:rPr>
          <w:b/>
          <w:bCs/>
        </w:rPr>
        <w:t xml:space="preserve">Diese Szenarien </w:t>
      </w:r>
      <w:r w:rsidR="00470A6F">
        <w:rPr>
          <w:b/>
          <w:bCs/>
        </w:rPr>
        <w:t>sollte</w:t>
      </w:r>
      <w:r w:rsidR="00874957">
        <w:rPr>
          <w:b/>
          <w:bCs/>
        </w:rPr>
        <w:t xml:space="preserve"> eine gute Schutz-Software für private Anwender und Unternehmen</w:t>
      </w:r>
      <w:r w:rsidR="00470A6F">
        <w:rPr>
          <w:b/>
          <w:bCs/>
        </w:rPr>
        <w:t xml:space="preserve"> verhindern. Aber </w:t>
      </w:r>
      <w:r w:rsidR="00A6456A">
        <w:rPr>
          <w:b/>
          <w:bCs/>
        </w:rPr>
        <w:t xml:space="preserve">gelingt </w:t>
      </w:r>
      <w:r w:rsidR="00470A6F">
        <w:rPr>
          <w:b/>
          <w:bCs/>
        </w:rPr>
        <w:t xml:space="preserve">das wirklich? Der </w:t>
      </w:r>
      <w:r w:rsidR="00470A6F" w:rsidRPr="002C504F">
        <w:rPr>
          <w:b/>
          <w:bCs/>
        </w:rPr>
        <w:t>Advanced Threat Protection</w:t>
      </w:r>
      <w:r w:rsidR="00470A6F">
        <w:rPr>
          <w:b/>
          <w:bCs/>
        </w:rPr>
        <w:t xml:space="preserve"> – kurz ATP-Test </w:t>
      </w:r>
      <w:r w:rsidR="00185FDB">
        <w:rPr>
          <w:b/>
          <w:bCs/>
        </w:rPr>
        <w:t>gibt klare Antworten</w:t>
      </w:r>
      <w:r w:rsidR="00CD61FC">
        <w:rPr>
          <w:b/>
          <w:bCs/>
        </w:rPr>
        <w:t xml:space="preserve">. Denn in diesem Live-Test spielen die Tester 10 sehr </w:t>
      </w:r>
      <w:r w:rsidR="000A06F9">
        <w:rPr>
          <w:b/>
          <w:bCs/>
        </w:rPr>
        <w:t>gefährliche Angreifer auf die Systeme und beobachten Schritt für Schritt</w:t>
      </w:r>
      <w:r w:rsidR="00A518C7">
        <w:rPr>
          <w:b/>
          <w:bCs/>
        </w:rPr>
        <w:t>,</w:t>
      </w:r>
      <w:r w:rsidR="000A06F9">
        <w:rPr>
          <w:b/>
          <w:bCs/>
        </w:rPr>
        <w:t xml:space="preserve"> was passiert. Im aktuellen Test </w:t>
      </w:r>
      <w:r w:rsidR="005673D2">
        <w:rPr>
          <w:b/>
          <w:bCs/>
        </w:rPr>
        <w:t>mit 1</w:t>
      </w:r>
      <w:r w:rsidR="00136D9B">
        <w:rPr>
          <w:b/>
          <w:bCs/>
        </w:rPr>
        <w:t>6</w:t>
      </w:r>
      <w:r w:rsidR="005673D2">
        <w:rPr>
          <w:b/>
          <w:bCs/>
        </w:rPr>
        <w:t xml:space="preserve"> Schutzpaketen </w:t>
      </w:r>
      <w:r w:rsidR="008C5D51">
        <w:rPr>
          <w:b/>
          <w:bCs/>
        </w:rPr>
        <w:t>steckt alle</w:t>
      </w:r>
      <w:r w:rsidR="00A518C7">
        <w:rPr>
          <w:b/>
          <w:bCs/>
        </w:rPr>
        <w:t>s</w:t>
      </w:r>
      <w:r w:rsidR="008C5D51">
        <w:rPr>
          <w:b/>
          <w:bCs/>
        </w:rPr>
        <w:t xml:space="preserve"> drin: von der perfekten Abwehr bis hin zu Verschlüsselung und Datendiebstahl</w:t>
      </w:r>
      <w:r w:rsidR="00073621">
        <w:rPr>
          <w:b/>
          <w:bCs/>
        </w:rPr>
        <w:t>.</w:t>
      </w:r>
    </w:p>
    <w:p w14:paraId="1184C6F6" w14:textId="0D7CC8F3" w:rsidR="00176FF9" w:rsidRPr="00752E5E" w:rsidRDefault="00484881" w:rsidP="00825541">
      <w:pPr>
        <w:ind w:right="2268"/>
      </w:pPr>
      <w:r w:rsidRPr="00752E5E">
        <w:t xml:space="preserve">Wenn </w:t>
      </w:r>
      <w:r w:rsidR="006870FC" w:rsidRPr="00752E5E">
        <w:t xml:space="preserve">ein </w:t>
      </w:r>
      <w:r w:rsidRPr="00752E5E">
        <w:t xml:space="preserve">Infostealer oder </w:t>
      </w:r>
      <w:r w:rsidR="006870FC" w:rsidRPr="00752E5E">
        <w:t xml:space="preserve">eine </w:t>
      </w:r>
      <w:r w:rsidRPr="00752E5E">
        <w:t xml:space="preserve">Ransomware </w:t>
      </w:r>
      <w:r w:rsidR="006870FC" w:rsidRPr="00752E5E">
        <w:t xml:space="preserve">angreift, läuft das Szenario zu Beginn immer recht ähnlich ab. Meist kommt </w:t>
      </w:r>
      <w:r w:rsidR="0027113F" w:rsidRPr="00752E5E">
        <w:t>eine Phishing-</w:t>
      </w:r>
      <w:r w:rsidR="006870FC" w:rsidRPr="00752E5E">
        <w:t xml:space="preserve">E-Mail </w:t>
      </w:r>
      <w:r w:rsidR="0027113F" w:rsidRPr="00752E5E">
        <w:t>mit einem Angreifer im Gepäck</w:t>
      </w:r>
      <w:r w:rsidR="00004DF1" w:rsidRPr="00752E5E">
        <w:t>. Kaum auf dem Windows-System gelandet</w:t>
      </w:r>
      <w:r w:rsidR="00EE077F">
        <w:t>,</w:t>
      </w:r>
      <w:r w:rsidR="00004DF1" w:rsidRPr="00752E5E">
        <w:t xml:space="preserve"> fallen </w:t>
      </w:r>
      <w:r w:rsidR="0043779E">
        <w:t>nach Meinung vieler</w:t>
      </w:r>
      <w:r w:rsidR="00004DF1" w:rsidRPr="00752E5E">
        <w:t xml:space="preserve"> gleich die Würfel: </w:t>
      </w:r>
      <w:r w:rsidR="00A518C7">
        <w:t>Der Angriff wird v</w:t>
      </w:r>
      <w:r w:rsidR="00A518C7" w:rsidRPr="00752E5E">
        <w:t xml:space="preserve">on </w:t>
      </w:r>
      <w:r w:rsidR="008F35AA" w:rsidRPr="00752E5E">
        <w:t xml:space="preserve">der Schutz-Software </w:t>
      </w:r>
      <w:r w:rsidR="00004DF1" w:rsidRPr="00752E5E">
        <w:t>erkannt oder nicht</w:t>
      </w:r>
      <w:r w:rsidR="008F35AA" w:rsidRPr="00752E5E">
        <w:t>. Aber das stimmt so</w:t>
      </w:r>
      <w:r w:rsidR="00C8262A" w:rsidRPr="00752E5E">
        <w:t xml:space="preserve"> nicht ganz. Denn auch wenn eine Abwehr</w:t>
      </w:r>
      <w:r w:rsidR="009558CE" w:rsidRPr="00752E5E">
        <w:t xml:space="preserve">-Software im ersten Schritt versagt, heißt das nicht, dass alles verloren ist. </w:t>
      </w:r>
      <w:r w:rsidR="00323BCC" w:rsidRPr="00752E5E">
        <w:t xml:space="preserve">Eine gute Security-Software besteht nicht nur aus einer Erkennungs-Engine, sondern hat viele weitere </w:t>
      </w:r>
      <w:r w:rsidR="00897E25" w:rsidRPr="00752E5E">
        <w:t>Module,</w:t>
      </w:r>
      <w:r w:rsidR="00775805" w:rsidRPr="00752E5E">
        <w:t xml:space="preserve"> die sich in Sachen Schutz unterstützen und oft in </w:t>
      </w:r>
      <w:r w:rsidR="00897E25">
        <w:t xml:space="preserve">perfekter </w:t>
      </w:r>
      <w:r w:rsidR="00775805" w:rsidRPr="00752E5E">
        <w:t xml:space="preserve">Zusammenarbeit eine Malware </w:t>
      </w:r>
      <w:r w:rsidR="00752E5E" w:rsidRPr="00752E5E">
        <w:t>in weiteren Angriffsschritten abwehren.</w:t>
      </w:r>
    </w:p>
    <w:p w14:paraId="635FC6D2" w14:textId="2258D110" w:rsidR="00752E5E" w:rsidRDefault="00752E5E" w:rsidP="00825541">
      <w:pPr>
        <w:ind w:right="2268"/>
      </w:pPr>
      <w:r w:rsidRPr="00752E5E">
        <w:t>Das dies funktionieren kann, zeigt der Advanced Threat Protection</w:t>
      </w:r>
      <w:r w:rsidR="00A518C7">
        <w:t>-Test</w:t>
      </w:r>
      <w:r w:rsidRPr="00752E5E">
        <w:t xml:space="preserve"> – kurz ATP-Test</w:t>
      </w:r>
      <w:r w:rsidR="00897E25">
        <w:t>.</w:t>
      </w:r>
      <w:r w:rsidR="00CA1EA5">
        <w:t xml:space="preserve"> Er </w:t>
      </w:r>
      <w:r w:rsidR="00A518C7">
        <w:t xml:space="preserve">verfolgt </w:t>
      </w:r>
      <w:r w:rsidR="00CA1EA5">
        <w:t xml:space="preserve">in 10 Live-Szenarien </w:t>
      </w:r>
      <w:r w:rsidR="00E841EA">
        <w:t xml:space="preserve">Schritt für Schritt, wie 5 Exemplare Ransomware und 5 Infostealer die Windows-Test-Systeme angreifen. Dabei </w:t>
      </w:r>
      <w:r w:rsidR="00DC10BE">
        <w:t>ist die Erkennung</w:t>
      </w:r>
      <w:r w:rsidR="00C06FAC">
        <w:t xml:space="preserve">, </w:t>
      </w:r>
      <w:r w:rsidR="00A518C7">
        <w:t xml:space="preserve">dass </w:t>
      </w:r>
      <w:r w:rsidR="00C06FAC">
        <w:t xml:space="preserve">die Malware auf dem System landet oder ausgeführt wird, nur der erste Abwehrschritt. </w:t>
      </w:r>
      <w:r w:rsidR="006E57DE">
        <w:t xml:space="preserve">Interessant ist, wenn weitere Module trotz einer Nichterkennung die Malware in späteren Schritten aufhalten und </w:t>
      </w:r>
      <w:r w:rsidR="00B7560F">
        <w:t>zu guter Letzt abwehren.</w:t>
      </w:r>
      <w:r w:rsidR="00A63413">
        <w:t xml:space="preserve"> Manchmal bleibt ein vernachlässigbare</w:t>
      </w:r>
      <w:r w:rsidR="00A518C7">
        <w:t>r</w:t>
      </w:r>
      <w:r w:rsidR="00A63413">
        <w:t xml:space="preserve"> Schaden, etwa eine übrige Text</w:t>
      </w:r>
      <w:r w:rsidR="00FA5333">
        <w:t>-</w:t>
      </w:r>
      <w:r w:rsidR="00A63413">
        <w:t xml:space="preserve"> oder Bilddatei</w:t>
      </w:r>
      <w:r w:rsidR="0005785A">
        <w:t>. Allerdings gibt es auch Fälle</w:t>
      </w:r>
      <w:r w:rsidR="00F46D18">
        <w:t>,</w:t>
      </w:r>
      <w:r w:rsidR="0005785A">
        <w:t xml:space="preserve"> bei denen der Abwehrkampf bis zuletzt tobt und </w:t>
      </w:r>
      <w:r w:rsidR="00F46D18">
        <w:t>einzelne Daten gestohlen oder verschlüsselt w</w:t>
      </w:r>
      <w:r w:rsidR="00EA69EB">
        <w:t>e</w:t>
      </w:r>
      <w:r w:rsidR="00F46D18">
        <w:t xml:space="preserve">rden. Aber auch das ist im Ernstfall noch ein annehmbares Ergebnis </w:t>
      </w:r>
      <w:r w:rsidR="00EA69EB">
        <w:t xml:space="preserve">im Vergleich zu </w:t>
      </w:r>
      <w:r w:rsidR="00F46D18">
        <w:t>eine</w:t>
      </w:r>
      <w:r w:rsidR="00A518C7">
        <w:t>m</w:t>
      </w:r>
      <w:r w:rsidR="00F46D18">
        <w:t xml:space="preserve"> Totalverlust.</w:t>
      </w:r>
    </w:p>
    <w:p w14:paraId="51B11139" w14:textId="5E31113A" w:rsidR="00F46D18" w:rsidRPr="008C7235" w:rsidRDefault="00F46D18" w:rsidP="00825541">
      <w:pPr>
        <w:ind w:right="2268"/>
        <w:rPr>
          <w:b/>
          <w:bCs/>
          <w:sz w:val="24"/>
          <w:szCs w:val="24"/>
        </w:rPr>
      </w:pPr>
      <w:r w:rsidRPr="008C7235">
        <w:rPr>
          <w:b/>
          <w:bCs/>
          <w:sz w:val="24"/>
          <w:szCs w:val="24"/>
        </w:rPr>
        <w:t>1</w:t>
      </w:r>
      <w:r w:rsidR="00DC6A51">
        <w:rPr>
          <w:b/>
          <w:bCs/>
          <w:sz w:val="24"/>
          <w:szCs w:val="24"/>
        </w:rPr>
        <w:t>6</w:t>
      </w:r>
      <w:r w:rsidRPr="008C7235">
        <w:rPr>
          <w:b/>
          <w:bCs/>
          <w:sz w:val="24"/>
          <w:szCs w:val="24"/>
        </w:rPr>
        <w:t xml:space="preserve"> Security-Lösungen im ATP-TEST</w:t>
      </w:r>
    </w:p>
    <w:p w14:paraId="68941D18" w14:textId="05D10D4A" w:rsidR="00F46D18" w:rsidRDefault="00EA69EB" w:rsidP="00825541">
      <w:pPr>
        <w:ind w:right="2268"/>
      </w:pPr>
      <w:r>
        <w:t>Dem Test stellen</w:t>
      </w:r>
      <w:r w:rsidR="00A6456A">
        <w:t xml:space="preserve"> </w:t>
      </w:r>
      <w:r w:rsidR="00220763">
        <w:t xml:space="preserve">sich </w:t>
      </w:r>
      <w:r w:rsidR="00DC6A51">
        <w:t>8</w:t>
      </w:r>
      <w:r w:rsidR="00220763">
        <w:t xml:space="preserve"> Pakete für private Anwender und </w:t>
      </w:r>
      <w:r w:rsidR="00DC6A51">
        <w:t>8</w:t>
      </w:r>
      <w:r w:rsidR="00220763">
        <w:t xml:space="preserve"> Endpoint-Lösungen für Unternehmen. </w:t>
      </w:r>
      <w:r w:rsidR="007604FE">
        <w:t xml:space="preserve">Alle Produkte wurden im März und April 2025 unter Windows 10 Professional </w:t>
      </w:r>
      <w:r w:rsidR="00406221">
        <w:t xml:space="preserve">untersucht. </w:t>
      </w:r>
    </w:p>
    <w:p w14:paraId="55A3E508" w14:textId="2FD5D594" w:rsidR="00406221" w:rsidRDefault="00406221" w:rsidP="00782451">
      <w:pPr>
        <w:ind w:right="2268"/>
      </w:pPr>
      <w:r>
        <w:t xml:space="preserve">Die Pakete für Anwender kommen von </w:t>
      </w:r>
      <w:r w:rsidR="009A18DC">
        <w:t>Avast, AVG, Avira, F-Secure, Kaspersky, McAfee</w:t>
      </w:r>
      <w:r w:rsidR="00590BC5">
        <w:t xml:space="preserve">, </w:t>
      </w:r>
      <w:r w:rsidR="009A18DC">
        <w:t>Microsoft</w:t>
      </w:r>
      <w:r w:rsidR="00590BC5">
        <w:t xml:space="preserve"> und </w:t>
      </w:r>
      <w:r w:rsidR="009A18DC">
        <w:t>Norton</w:t>
      </w:r>
      <w:r w:rsidR="00590BC5">
        <w:t>.</w:t>
      </w:r>
      <w:r w:rsidR="00FB3C6A">
        <w:t xml:space="preserve"> Die Endpoint-Lö</w:t>
      </w:r>
      <w:r w:rsidR="00782451">
        <w:t>sungen von Acronis, Avast,</w:t>
      </w:r>
      <w:r w:rsidR="00DC6A51">
        <w:t xml:space="preserve"> </w:t>
      </w:r>
      <w:r w:rsidR="00782451">
        <w:t>Kaspersky (mit 2 Versionen), Microsoft, Microworld, Trellix und WithSecure.</w:t>
      </w:r>
    </w:p>
    <w:p w14:paraId="13454D14" w14:textId="303C4A02" w:rsidR="00D63885" w:rsidRDefault="000747AF" w:rsidP="000747AF">
      <w:pPr>
        <w:ind w:right="2268"/>
      </w:pPr>
      <w:r w:rsidRPr="008D5221">
        <w:lastRenderedPageBreak/>
        <w:t>In der Tabelle ist jeder Lösung ein Schutz-Score zugewiesen – maximal 35 Punkte sind möglich.</w:t>
      </w:r>
      <w:r w:rsidRPr="000747AF">
        <w:t xml:space="preserve"> </w:t>
      </w:r>
      <w:r w:rsidR="00F36A1C">
        <w:t>Je</w:t>
      </w:r>
      <w:r w:rsidR="00111855">
        <w:t>de</w:t>
      </w:r>
      <w:r w:rsidR="00F36A1C">
        <w:t xml:space="preserve"> komplett abgewehrte Ransomware </w:t>
      </w:r>
      <w:r w:rsidR="00111855">
        <w:t>bringt bis zu 3 Punkte, Infostealer bis zu 4 Punkte</w:t>
      </w:r>
      <w:r w:rsidR="004010BA">
        <w:t xml:space="preserve">. </w:t>
      </w:r>
      <w:r w:rsidRPr="000747AF">
        <w:t xml:space="preserve">Bei den jeweils </w:t>
      </w:r>
      <w:r w:rsidR="00A6456A">
        <w:t>5</w:t>
      </w:r>
      <w:r w:rsidRPr="000747AF">
        <w:t xml:space="preserve"> Varianten pro Angriffstyp kann es in den insgesamt 10 Szenarien auch halbe Punktzahlen geben.</w:t>
      </w:r>
    </w:p>
    <w:p w14:paraId="597B487F" w14:textId="17EB84FE" w:rsidR="00D63885" w:rsidRDefault="00090FBF" w:rsidP="00782451">
      <w:pPr>
        <w:ind w:right="2268"/>
      </w:pPr>
      <w:r>
        <w:t>Den Ablauf der Abwehra</w:t>
      </w:r>
      <w:r w:rsidR="00D63885" w:rsidRPr="00D63885">
        <w:t xml:space="preserve">ktionen beschreibt das Labor in einer Matrix nach dem MITRE ATT&amp;CK-Standard. </w:t>
      </w:r>
      <w:r w:rsidR="00453AB7">
        <w:t>W</w:t>
      </w:r>
      <w:r w:rsidR="00D63885" w:rsidRPr="00D63885">
        <w:t>enn ein Produkt den Angreifer nicht sofort erkennt, können weitere Abwehraktionen greifen und so den Angriff stoppen. Der Test zeigt genau, bei welchem Schritt das der Fall ist – oder auch nicht.</w:t>
      </w:r>
    </w:p>
    <w:p w14:paraId="68574B8E" w14:textId="05613131" w:rsidR="00DC10BE" w:rsidRPr="008C7235" w:rsidRDefault="009714E0" w:rsidP="00825541">
      <w:pPr>
        <w:ind w:right="2268"/>
        <w:rPr>
          <w:b/>
          <w:bCs/>
          <w:sz w:val="24"/>
          <w:szCs w:val="24"/>
        </w:rPr>
      </w:pPr>
      <w:r w:rsidRPr="008C7235">
        <w:rPr>
          <w:b/>
          <w:bCs/>
          <w:sz w:val="24"/>
          <w:szCs w:val="24"/>
        </w:rPr>
        <w:t>N</w:t>
      </w:r>
      <w:r w:rsidR="006C6BBC" w:rsidRPr="008C7235">
        <w:rPr>
          <w:b/>
          <w:bCs/>
          <w:sz w:val="24"/>
          <w:szCs w:val="24"/>
        </w:rPr>
        <w:t xml:space="preserve">eueste Angriffstechniken </w:t>
      </w:r>
      <w:r w:rsidRPr="008C7235">
        <w:rPr>
          <w:b/>
          <w:bCs/>
          <w:sz w:val="24"/>
          <w:szCs w:val="24"/>
        </w:rPr>
        <w:t>im Einsatz</w:t>
      </w:r>
    </w:p>
    <w:p w14:paraId="551D106D" w14:textId="30B82567" w:rsidR="009714E0" w:rsidRDefault="009714E0" w:rsidP="00825541">
      <w:pPr>
        <w:ind w:right="2268"/>
      </w:pPr>
      <w:r>
        <w:t>Im aktuellen März-April-ATP-Test kommt eine besondere Angriffstechnik zum Einsatz</w:t>
      </w:r>
      <w:r w:rsidR="000747AF">
        <w:t>,</w:t>
      </w:r>
      <w:r>
        <w:t xml:space="preserve"> </w:t>
      </w:r>
      <w:r w:rsidR="00981D7C">
        <w:t xml:space="preserve">die alle Malware-Exemplare </w:t>
      </w:r>
      <w:r w:rsidR="00933901">
        <w:t>in den 10 Szenarien im Labor ausnutzen</w:t>
      </w:r>
      <w:r w:rsidR="00981D7C">
        <w:t>:</w:t>
      </w:r>
    </w:p>
    <w:p w14:paraId="6C3BE8DB" w14:textId="70E5612E" w:rsidR="00981D7C" w:rsidRDefault="00671C86" w:rsidP="00825541">
      <w:pPr>
        <w:ind w:right="2268"/>
      </w:pPr>
      <w:r w:rsidRPr="005A59F8">
        <w:rPr>
          <w:b/>
          <w:bCs/>
        </w:rPr>
        <w:t>MSBuild (Microsoft Build Engine):</w:t>
      </w:r>
      <w:r>
        <w:t xml:space="preserve"> </w:t>
      </w:r>
      <w:r w:rsidR="004D108D">
        <w:t xml:space="preserve">Das </w:t>
      </w:r>
      <w:r w:rsidR="0022009F">
        <w:t xml:space="preserve">vertrauenswürdige </w:t>
      </w:r>
      <w:r w:rsidR="004D108D">
        <w:t xml:space="preserve">Windows-Tool gehört zum .NET Framework und Visual Studio. </w:t>
      </w:r>
      <w:r w:rsidR="00612C6C">
        <w:t xml:space="preserve">Mit seiner Hilfe lassen sich aus Projektdateien (.proj, .csproj usw.) ausführbare </w:t>
      </w:r>
      <w:r w:rsidR="00CB230E">
        <w:t>Anwendungen erstellen</w:t>
      </w:r>
      <w:r w:rsidR="00601631">
        <w:t xml:space="preserve"> (kompilieren)</w:t>
      </w:r>
      <w:r w:rsidR="00CB230E">
        <w:t xml:space="preserve">. </w:t>
      </w:r>
    </w:p>
    <w:p w14:paraId="500DE30D" w14:textId="5F4AAFCA" w:rsidR="0022009F" w:rsidRDefault="0022009F" w:rsidP="00825541">
      <w:pPr>
        <w:ind w:right="2268"/>
      </w:pPr>
      <w:r>
        <w:t xml:space="preserve">Angreifer fügen allerdings gefährlichen Code in eine Projektdatei ein und </w:t>
      </w:r>
      <w:r w:rsidR="008E4640">
        <w:t xml:space="preserve">bieten diese zum </w:t>
      </w:r>
      <w:r w:rsidR="000747AF">
        <w:t>K</w:t>
      </w:r>
      <w:r w:rsidR="00CC388D">
        <w:t>ompilieren</w:t>
      </w:r>
      <w:r w:rsidR="008E4640">
        <w:t xml:space="preserve"> </w:t>
      </w:r>
      <w:r w:rsidR="006222F2">
        <w:t xml:space="preserve">durch den Anwender </w:t>
      </w:r>
      <w:r w:rsidR="008E4640">
        <w:t xml:space="preserve">an. </w:t>
      </w:r>
      <w:r w:rsidR="00D76BCF">
        <w:t xml:space="preserve">Bei diesem Vorgang wird der gefährliche Code als dateilose Malware im </w:t>
      </w:r>
      <w:r w:rsidR="00484906">
        <w:t>Arbeitsspeicher ausgeführt und kann so Schutzmaßnahmen umgehen</w:t>
      </w:r>
      <w:r w:rsidR="008969FD">
        <w:t xml:space="preserve">, da MSBuild als vertrauenswürdige Anwendung </w:t>
      </w:r>
      <w:r w:rsidR="008C7235">
        <w:t>gilt</w:t>
      </w:r>
      <w:r w:rsidR="00484906">
        <w:t>.</w:t>
      </w:r>
    </w:p>
    <w:p w14:paraId="296904D2" w14:textId="64F6AA58" w:rsidR="00C86AE9" w:rsidRPr="00713922" w:rsidRDefault="00291FD8">
      <w:pPr>
        <w:ind w:right="226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ATP</w:t>
      </w:r>
      <w:r w:rsidR="00871384">
        <w:rPr>
          <w:b/>
          <w:bCs/>
          <w:sz w:val="28"/>
          <w:szCs w:val="28"/>
        </w:rPr>
        <w:t xml:space="preserve">: </w:t>
      </w:r>
      <w:r w:rsidR="0055220D">
        <w:rPr>
          <w:b/>
          <w:bCs/>
          <w:sz w:val="28"/>
          <w:szCs w:val="28"/>
        </w:rPr>
        <w:t xml:space="preserve">So gut sind die </w:t>
      </w:r>
      <w:r w:rsidR="009834B1">
        <w:rPr>
          <w:b/>
          <w:bCs/>
          <w:sz w:val="28"/>
          <w:szCs w:val="28"/>
        </w:rPr>
        <w:t>Privatanwender</w:t>
      </w:r>
      <w:r>
        <w:rPr>
          <w:b/>
          <w:bCs/>
          <w:sz w:val="28"/>
          <w:szCs w:val="28"/>
        </w:rPr>
        <w:t>-Produkte</w:t>
      </w:r>
    </w:p>
    <w:p w14:paraId="17F136BD" w14:textId="2E22DD9F" w:rsidR="006F2F08" w:rsidRDefault="00C0002E" w:rsidP="000747AF">
      <w:pPr>
        <w:ind w:right="2268"/>
      </w:pPr>
      <w:r>
        <w:t xml:space="preserve">Im März-April-ATP-Test </w:t>
      </w:r>
      <w:r w:rsidR="00594C20">
        <w:t xml:space="preserve">gibt es bei den Produkten für private Anwender einige negative Überraschungen. Von den </w:t>
      </w:r>
      <w:r w:rsidR="002B21C5">
        <w:t>8</w:t>
      </w:r>
      <w:r w:rsidR="00594C20">
        <w:t xml:space="preserve"> unter</w:t>
      </w:r>
      <w:r w:rsidR="007D30C9">
        <w:t xml:space="preserve">suchten Paketen </w:t>
      </w:r>
      <w:r w:rsidR="000747AF">
        <w:t xml:space="preserve">liefern </w:t>
      </w:r>
      <w:r w:rsidR="007D30C9">
        <w:t xml:space="preserve">nur 3 Produkte </w:t>
      </w:r>
      <w:r w:rsidR="000747AF">
        <w:t>eine lückenlose</w:t>
      </w:r>
      <w:r w:rsidR="00877DB0">
        <w:t xml:space="preserve"> Abwehr </w:t>
      </w:r>
      <w:r w:rsidR="002F36E1">
        <w:t xml:space="preserve">in allen 10 Szenarien </w:t>
      </w:r>
      <w:r w:rsidR="00877DB0">
        <w:t>und erhalten so die maximalen 35 Punkte: Kaspersky, McAfee und Microsoft.</w:t>
      </w:r>
    </w:p>
    <w:p w14:paraId="08442833" w14:textId="2DBADD68" w:rsidR="00716C25" w:rsidRDefault="00B05A47" w:rsidP="00877DB0">
      <w:pPr>
        <w:ind w:right="2268"/>
      </w:pPr>
      <w:r>
        <w:t xml:space="preserve">Norton </w:t>
      </w:r>
      <w:r w:rsidR="00A6456A">
        <w:t xml:space="preserve">erkennt </w:t>
      </w:r>
      <w:r>
        <w:t xml:space="preserve">9 Angreifer, wobei aber </w:t>
      </w:r>
      <w:r w:rsidR="00812AD1">
        <w:t xml:space="preserve">ein Infostealer </w:t>
      </w:r>
      <w:r w:rsidR="00337332">
        <w:t xml:space="preserve">trotzdem </w:t>
      </w:r>
      <w:r w:rsidR="00B629C0">
        <w:t xml:space="preserve">sein Werk vollrichten kann. Das macht 3,5 Punkte Abzug. </w:t>
      </w:r>
      <w:r w:rsidR="000415C6">
        <w:t>Die 10. Malware</w:t>
      </w:r>
      <w:r w:rsidR="00DB5B6C">
        <w:t xml:space="preserve">, eine Ransomware, wird nicht </w:t>
      </w:r>
      <w:r w:rsidR="00A6456A">
        <w:t xml:space="preserve">bemerkt </w:t>
      </w:r>
      <w:r w:rsidR="00DB5B6C">
        <w:t>– weitere 3 Punkte Verlust. Norton erhält für den Schutz-Score noch 28,5 Punkte.</w:t>
      </w:r>
    </w:p>
    <w:p w14:paraId="64CDCAA2" w14:textId="04DB5859" w:rsidR="00B41876" w:rsidRDefault="00716C25" w:rsidP="00FA1C20">
      <w:pPr>
        <w:ind w:right="2268"/>
      </w:pPr>
      <w:r>
        <w:t>Für die Pakete von Avast, AVG, Avira</w:t>
      </w:r>
      <w:r w:rsidR="00FA1C20">
        <w:t xml:space="preserve"> und </w:t>
      </w:r>
      <w:r>
        <w:t>F-Secure</w:t>
      </w:r>
      <w:r w:rsidR="00FA1C20">
        <w:t xml:space="preserve"> war es ein harter Test. Alle Pakete </w:t>
      </w:r>
      <w:r w:rsidR="00337332">
        <w:t xml:space="preserve">erkennen </w:t>
      </w:r>
      <w:r w:rsidR="00FA1C20">
        <w:t xml:space="preserve">nur 8 von 10 Angreifern. </w:t>
      </w:r>
      <w:r w:rsidR="00DD492E">
        <w:t>Die</w:t>
      </w:r>
      <w:r w:rsidR="006C2DA5">
        <w:t xml:space="preserve"> Produkte </w:t>
      </w:r>
      <w:r w:rsidR="00774ECF">
        <w:t xml:space="preserve">lassen </w:t>
      </w:r>
      <w:r w:rsidR="00F97CCF">
        <w:t xml:space="preserve">je </w:t>
      </w:r>
      <w:r w:rsidR="00774ECF">
        <w:t xml:space="preserve">einen Infostealer und eine Ransomware ohne Gegenwehr passieren. Interessanterweise </w:t>
      </w:r>
      <w:r w:rsidR="00E433F7">
        <w:t>sind es in allen Fällen die gleichen Malware-Samples.</w:t>
      </w:r>
      <w:r w:rsidR="003F7D53">
        <w:t xml:space="preserve"> Jedes Produkt verliert so insgesamt 7 Punkte und alle </w:t>
      </w:r>
      <w:r w:rsidR="00337332">
        <w:t xml:space="preserve">verzeichnen </w:t>
      </w:r>
      <w:r w:rsidR="003F7D53">
        <w:t>am Ende 28 von 35 Punkte</w:t>
      </w:r>
      <w:r w:rsidR="007C1BE2">
        <w:t>n</w:t>
      </w:r>
      <w:r w:rsidR="003F7D53">
        <w:t xml:space="preserve"> in </w:t>
      </w:r>
      <w:r w:rsidR="00B047C4">
        <w:t>ihrem Schutz-Score.</w:t>
      </w:r>
    </w:p>
    <w:p w14:paraId="5102176E" w14:textId="5B76C62B" w:rsidR="00877DB0" w:rsidRDefault="0027441A" w:rsidP="00C324B8">
      <w:pPr>
        <w:ind w:right="2268"/>
      </w:pPr>
      <w:r>
        <w:t xml:space="preserve">Die untersuchten </w:t>
      </w:r>
      <w:r w:rsidR="00B047C4">
        <w:t xml:space="preserve">Produkte </w:t>
      </w:r>
      <w:r w:rsidR="00A6456A">
        <w:t xml:space="preserve">verdienen </w:t>
      </w:r>
      <w:r>
        <w:t xml:space="preserve">alle </w:t>
      </w:r>
      <w:r w:rsidR="00B047C4">
        <w:t xml:space="preserve">das AV-TEST-Zertifikat „Advanced Certified“, </w:t>
      </w:r>
      <w:r w:rsidR="00314C01">
        <w:t xml:space="preserve">da </w:t>
      </w:r>
      <w:r w:rsidR="00B047C4">
        <w:t>75 Prozent der maximalen 35 Punkte (26,5 Punkte)</w:t>
      </w:r>
      <w:r w:rsidR="00314C01">
        <w:t xml:space="preserve"> erreicht werden</w:t>
      </w:r>
      <w:r w:rsidR="00B047C4">
        <w:t>.</w:t>
      </w:r>
    </w:p>
    <w:p w14:paraId="78CD4F7B" w14:textId="5BF48A4E" w:rsidR="00AC6485" w:rsidRPr="00713922" w:rsidRDefault="00AC6485" w:rsidP="00AC6485">
      <w:pPr>
        <w:ind w:right="226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ATP: So gut sind die Unternehmens-Produkte</w:t>
      </w:r>
    </w:p>
    <w:p w14:paraId="5B31D184" w14:textId="55913B56" w:rsidR="00E95E41" w:rsidRDefault="00AC6485" w:rsidP="009C144C">
      <w:pPr>
        <w:ind w:right="2268"/>
      </w:pPr>
      <w:r>
        <w:t xml:space="preserve">Die Lösungen für Unternehmen </w:t>
      </w:r>
      <w:r w:rsidR="00E95E41">
        <w:t>schlie</w:t>
      </w:r>
      <w:r w:rsidR="00AC607D">
        <w:t xml:space="preserve">ßen den Test zwar </w:t>
      </w:r>
      <w:r w:rsidR="00523298">
        <w:t xml:space="preserve">wesentlich </w:t>
      </w:r>
      <w:r w:rsidR="00AC607D">
        <w:t xml:space="preserve">besser ab als die Privatprodukte, aber </w:t>
      </w:r>
      <w:r w:rsidR="005874F9">
        <w:t xml:space="preserve">auch nicht ohne Probleme. Die </w:t>
      </w:r>
      <w:r w:rsidR="009C144C">
        <w:t xml:space="preserve">5 Produkte von Acronis, Kaspersky (beide Versionen), Microsoft und Microworld </w:t>
      </w:r>
      <w:r w:rsidR="003E33D9">
        <w:t>beenden den Test fehlerfrei und verbuchen die vollen 35 Punkte für ihren Schutz-Score.</w:t>
      </w:r>
    </w:p>
    <w:p w14:paraId="5CC3416A" w14:textId="3DBFB4ED" w:rsidR="00E65D0E" w:rsidRDefault="00E65D0E" w:rsidP="00E65D0E">
      <w:pPr>
        <w:ind w:right="2268"/>
      </w:pPr>
      <w:r>
        <w:t>D</w:t>
      </w:r>
      <w:r w:rsidR="00141382">
        <w:t>as</w:t>
      </w:r>
      <w:r>
        <w:t xml:space="preserve"> Endpoint-Paket </w:t>
      </w:r>
      <w:r w:rsidR="008C30CE">
        <w:t xml:space="preserve">von </w:t>
      </w:r>
      <w:r>
        <w:t>WithSecure</w:t>
      </w:r>
      <w:r w:rsidR="008C30CE">
        <w:t xml:space="preserve"> </w:t>
      </w:r>
      <w:r w:rsidR="00337332">
        <w:t xml:space="preserve">registriert </w:t>
      </w:r>
      <w:r w:rsidR="008C30CE">
        <w:t>zwar ebenfalls alle 10 Angreifer, ha</w:t>
      </w:r>
      <w:r w:rsidR="00141382">
        <w:t>t</w:t>
      </w:r>
      <w:r w:rsidR="008C30CE">
        <w:t xml:space="preserve"> aber im Nachgang Probleme. </w:t>
      </w:r>
      <w:r w:rsidR="0054336A">
        <w:t>De</w:t>
      </w:r>
      <w:r w:rsidR="00074864">
        <w:t>n</w:t>
      </w:r>
      <w:r w:rsidR="00854970">
        <w:t xml:space="preserve"> </w:t>
      </w:r>
      <w:r w:rsidR="0054336A">
        <w:t xml:space="preserve">bereits </w:t>
      </w:r>
      <w:r w:rsidR="00854970">
        <w:t>identifizier</w:t>
      </w:r>
      <w:r w:rsidR="0054336A">
        <w:t>te</w:t>
      </w:r>
      <w:r w:rsidR="00854970">
        <w:t xml:space="preserve">n Infostealer </w:t>
      </w:r>
      <w:r w:rsidR="00337332">
        <w:t xml:space="preserve">stoppt </w:t>
      </w:r>
      <w:r w:rsidR="00074864">
        <w:t xml:space="preserve">es </w:t>
      </w:r>
      <w:r w:rsidR="0006189C">
        <w:t xml:space="preserve">erst in weiteren Schritten. Das kostet </w:t>
      </w:r>
      <w:r w:rsidR="00544FD6">
        <w:t>einen Punkt und es bleiben 3 von 4 Punkten.</w:t>
      </w:r>
      <w:r w:rsidR="00B618DA">
        <w:t xml:space="preserve"> </w:t>
      </w:r>
      <w:r w:rsidR="00223A80">
        <w:t xml:space="preserve">Auch bei einer Ransomware </w:t>
      </w:r>
      <w:r w:rsidR="005E7325">
        <w:t xml:space="preserve">gibt es </w:t>
      </w:r>
      <w:r w:rsidR="00223A80">
        <w:t>ein Problem</w:t>
      </w:r>
      <w:r w:rsidR="00AA05E4">
        <w:t xml:space="preserve"> und </w:t>
      </w:r>
      <w:r w:rsidR="005E7325">
        <w:t xml:space="preserve">den Verlust </w:t>
      </w:r>
      <w:r w:rsidR="00AA05E4">
        <w:t>weitere</w:t>
      </w:r>
      <w:r w:rsidR="005E7325">
        <w:t>r</w:t>
      </w:r>
      <w:r w:rsidR="00AA05E4">
        <w:t xml:space="preserve"> Punkte</w:t>
      </w:r>
      <w:r w:rsidR="00223A80">
        <w:t xml:space="preserve">. </w:t>
      </w:r>
      <w:r w:rsidR="00182F4F">
        <w:t xml:space="preserve">Auch hier wird der </w:t>
      </w:r>
      <w:r w:rsidR="00EA1C80">
        <w:t>Angreifer</w:t>
      </w:r>
      <w:r w:rsidR="00182F4F">
        <w:t xml:space="preserve"> erkannt, aber </w:t>
      </w:r>
      <w:r w:rsidR="00EA1C80">
        <w:t xml:space="preserve">nicht gleich </w:t>
      </w:r>
      <w:r w:rsidR="00182F4F">
        <w:t>ge</w:t>
      </w:r>
      <w:r w:rsidR="00EA1C80">
        <w:t>stopp</w:t>
      </w:r>
      <w:r w:rsidR="00182F4F">
        <w:t>t</w:t>
      </w:r>
      <w:r w:rsidR="00EA1C80">
        <w:t xml:space="preserve">. </w:t>
      </w:r>
      <w:r w:rsidR="00182F4F">
        <w:t>D</w:t>
      </w:r>
      <w:r w:rsidR="00EA1C80">
        <w:t>as Produkt von With</w:t>
      </w:r>
      <w:r w:rsidR="0081056A">
        <w:t>S</w:t>
      </w:r>
      <w:r w:rsidR="00EA1C80">
        <w:t>ecure</w:t>
      </w:r>
      <w:r w:rsidR="0081056A">
        <w:t xml:space="preserve"> </w:t>
      </w:r>
      <w:r w:rsidR="00182F4F">
        <w:t xml:space="preserve">schafft das erst </w:t>
      </w:r>
      <w:r w:rsidR="0081056A">
        <w:t>in späteren Schritten</w:t>
      </w:r>
      <w:r w:rsidR="002D79B1">
        <w:t xml:space="preserve">. </w:t>
      </w:r>
      <w:r w:rsidR="009B7E5F">
        <w:t xml:space="preserve">In der Abrechnung bleiben damit </w:t>
      </w:r>
      <w:r w:rsidR="002F0AB6">
        <w:t xml:space="preserve">für den Schutz-Score von WithSecure </w:t>
      </w:r>
      <w:r w:rsidR="00E50EEE">
        <w:t>33 von 35 Punkten</w:t>
      </w:r>
      <w:r w:rsidR="007B4DC4">
        <w:t>.</w:t>
      </w:r>
    </w:p>
    <w:p w14:paraId="0B85F57A" w14:textId="546181F6" w:rsidR="007B4DC4" w:rsidRDefault="00E43EAF" w:rsidP="00E65D0E">
      <w:pPr>
        <w:ind w:right="2268"/>
      </w:pPr>
      <w:r>
        <w:t xml:space="preserve">Die Endpoint-Lösung von Trellix </w:t>
      </w:r>
      <w:r w:rsidR="00337332">
        <w:t xml:space="preserve">spürt </w:t>
      </w:r>
      <w:r>
        <w:t>9 von 10 Angreifern</w:t>
      </w:r>
      <w:r w:rsidR="00337332">
        <w:t xml:space="preserve"> auf</w:t>
      </w:r>
      <w:r w:rsidR="003B5957">
        <w:t xml:space="preserve">. Während ein Infostealer unerkannt sein Werk verrichten kann, </w:t>
      </w:r>
      <w:r w:rsidR="005C2859">
        <w:t xml:space="preserve">wird eine Ransomware </w:t>
      </w:r>
      <w:r w:rsidR="00337332">
        <w:t>entdeckt</w:t>
      </w:r>
      <w:r w:rsidR="005C2859">
        <w:t xml:space="preserve">, aber nicht weiter aufgehalten. Am Ende ist das Testsystem verschlüsselt. </w:t>
      </w:r>
      <w:r w:rsidR="00A24E59">
        <w:t xml:space="preserve">Für Trellix bleiben so </w:t>
      </w:r>
      <w:r w:rsidR="003468C2">
        <w:t>28,5 von 35 Punkten.</w:t>
      </w:r>
    </w:p>
    <w:p w14:paraId="00709158" w14:textId="59F2DC85" w:rsidR="003468C2" w:rsidRDefault="003468C2" w:rsidP="00E65D0E">
      <w:pPr>
        <w:ind w:right="2268"/>
      </w:pPr>
      <w:r>
        <w:t xml:space="preserve">Die Business-Lösung von Avast </w:t>
      </w:r>
      <w:r w:rsidR="009E076A">
        <w:t>wehrt 8 von 10 Angreifern ohne Einschränkungen ab. Bei einem Infostealer und einer Ransomware muss die Lösung passen und die Angreifer übernehmen ungestört die Testsysteme</w:t>
      </w:r>
      <w:r w:rsidR="007B636B">
        <w:t>. Es bleiben 28 von 35 Punkten für den Schutz-Score.</w:t>
      </w:r>
    </w:p>
    <w:p w14:paraId="01853C4F" w14:textId="2D3383EC" w:rsidR="000118ED" w:rsidRDefault="00DC7CFE" w:rsidP="00503429">
      <w:pPr>
        <w:ind w:right="2268"/>
      </w:pPr>
      <w:r>
        <w:t xml:space="preserve">Alle geprüften Lösungen erfüllen die Vorgaben für </w:t>
      </w:r>
      <w:r w:rsidR="00F16B76">
        <w:t>das Test-Zertifikat „Advanced Approved Endpoint Protection“</w:t>
      </w:r>
      <w:r>
        <w:t xml:space="preserve">, da sie </w:t>
      </w:r>
      <w:r w:rsidR="00F16B76">
        <w:t xml:space="preserve">75 Prozent der 35 Punkte (26,5 Punkte) als Schutz-Score erreichen. </w:t>
      </w:r>
      <w:r w:rsidR="001D7416">
        <w:t>Lediglich Acronis erhält das Zertifikat nicht</w:t>
      </w:r>
      <w:r w:rsidR="00503429">
        <w:t xml:space="preserve">, denn </w:t>
      </w:r>
      <w:r w:rsidR="00337332">
        <w:t xml:space="preserve">dieses bleibt </w:t>
      </w:r>
      <w:r w:rsidR="00756CD2" w:rsidRPr="00D17DB1">
        <w:t>Produkte</w:t>
      </w:r>
      <w:r w:rsidR="00337332">
        <w:t>n vorbehalten</w:t>
      </w:r>
      <w:r w:rsidR="00756CD2" w:rsidRPr="00D17DB1">
        <w:t xml:space="preserve">, </w:t>
      </w:r>
      <w:hyperlink r:id="rId8" w:history="1">
        <w:r w:rsidR="00756CD2" w:rsidRPr="00D17DB1">
          <w:rPr>
            <w:rStyle w:val="Hyperlink"/>
          </w:rPr>
          <w:t>die auch im regulären Monatstest zertifiziert sind und dort die Kriterien erfüllen</w:t>
        </w:r>
      </w:hyperlink>
      <w:r w:rsidR="00756CD2" w:rsidRPr="00D17DB1">
        <w:t>.</w:t>
      </w:r>
    </w:p>
    <w:p w14:paraId="01D90AD9" w14:textId="43BD01C1" w:rsidR="009834B1" w:rsidRPr="00F501B7" w:rsidRDefault="00503429" w:rsidP="00462433">
      <w:pPr>
        <w:ind w:right="2268"/>
        <w:rPr>
          <w:b/>
          <w:bCs/>
          <w:sz w:val="28"/>
          <w:szCs w:val="28"/>
        </w:rPr>
      </w:pPr>
      <w:r w:rsidRPr="00F501B7">
        <w:rPr>
          <w:b/>
          <w:bCs/>
          <w:sz w:val="28"/>
          <w:szCs w:val="28"/>
        </w:rPr>
        <w:t>Fazit</w:t>
      </w:r>
      <w:r w:rsidR="00F501B7" w:rsidRPr="00F501B7">
        <w:rPr>
          <w:b/>
          <w:bCs/>
          <w:sz w:val="28"/>
          <w:szCs w:val="28"/>
        </w:rPr>
        <w:t xml:space="preserve">: Harter </w:t>
      </w:r>
      <w:r w:rsidR="0072591F" w:rsidRPr="00F501B7">
        <w:rPr>
          <w:b/>
          <w:bCs/>
          <w:sz w:val="28"/>
          <w:szCs w:val="28"/>
        </w:rPr>
        <w:t>ATP-</w:t>
      </w:r>
      <w:r w:rsidR="00AE01A7" w:rsidRPr="00F501B7">
        <w:rPr>
          <w:b/>
          <w:bCs/>
          <w:sz w:val="28"/>
          <w:szCs w:val="28"/>
        </w:rPr>
        <w:t>Test</w:t>
      </w:r>
      <w:r w:rsidR="00F501B7" w:rsidRPr="00F501B7">
        <w:rPr>
          <w:b/>
          <w:bCs/>
          <w:sz w:val="28"/>
          <w:szCs w:val="28"/>
        </w:rPr>
        <w:t xml:space="preserve"> hinterlässt Spuren</w:t>
      </w:r>
    </w:p>
    <w:p w14:paraId="23406D84" w14:textId="436E0F1D" w:rsidR="00F501B7" w:rsidRDefault="00F501B7" w:rsidP="00AC70AE">
      <w:pPr>
        <w:ind w:right="2268"/>
      </w:pPr>
      <w:r>
        <w:t xml:space="preserve">Bei den </w:t>
      </w:r>
      <w:r w:rsidR="00E440CA">
        <w:t xml:space="preserve">Produkten für Endanwender </w:t>
      </w:r>
      <w:r w:rsidR="00157C53">
        <w:t xml:space="preserve">lassen sich </w:t>
      </w:r>
      <w:r w:rsidR="00E440CA">
        <w:t xml:space="preserve">teils </w:t>
      </w:r>
      <w:r w:rsidR="00157C53">
        <w:t xml:space="preserve">herbe Punktverluste in der Tabelle ablesen. </w:t>
      </w:r>
      <w:r w:rsidR="006F285E">
        <w:t xml:space="preserve">Dass es dennoch </w:t>
      </w:r>
      <w:r w:rsidR="00AB1525">
        <w:t xml:space="preserve">fehlerfrei in Sachen Sicherheit </w:t>
      </w:r>
      <w:r w:rsidR="001642C9">
        <w:t>geh</w:t>
      </w:r>
      <w:r w:rsidR="001020E9">
        <w:t xml:space="preserve">t, </w:t>
      </w:r>
      <w:r w:rsidR="00A6456A">
        <w:t xml:space="preserve">beweisen </w:t>
      </w:r>
      <w:r w:rsidR="00AB1525">
        <w:t xml:space="preserve">die Pakete von </w:t>
      </w:r>
      <w:r w:rsidR="00AC70AE">
        <w:t xml:space="preserve">Kaspersky, McAfee und Microsoft. Sie schließen den Test mit Bestwerten ab: 10 erkannte </w:t>
      </w:r>
      <w:r w:rsidR="001020E9">
        <w:t>und abgewehrte Angreifer</w:t>
      </w:r>
      <w:r w:rsidR="00651F18">
        <w:t xml:space="preserve"> und 35 Punkte im Schutz-Score.</w:t>
      </w:r>
    </w:p>
    <w:p w14:paraId="5A49E235" w14:textId="1F0C0F9C" w:rsidR="0052375C" w:rsidRDefault="0052375C" w:rsidP="00481CCA">
      <w:pPr>
        <w:ind w:right="2268"/>
      </w:pPr>
      <w:r>
        <w:t xml:space="preserve">Das Ergebnis bei den Unternehmensprodukten </w:t>
      </w:r>
      <w:r w:rsidR="00481CCA">
        <w:t>ist deutlich besser, aber weit entfernt von perfekt. Acronis, die beiden Kaspersky-Versionen, Microsoft und Microworld</w:t>
      </w:r>
      <w:r w:rsidR="00CF2607">
        <w:t xml:space="preserve"> </w:t>
      </w:r>
      <w:r w:rsidR="00A6456A">
        <w:t xml:space="preserve">arbeiten </w:t>
      </w:r>
      <w:r w:rsidR="00CF2607">
        <w:t xml:space="preserve">völlig fehlerfrei und </w:t>
      </w:r>
      <w:r w:rsidR="00A6456A">
        <w:t xml:space="preserve">verdienen </w:t>
      </w:r>
      <w:r w:rsidR="00CF2607">
        <w:t>so die maximalen 35 Punkte für den Schutz-Score.</w:t>
      </w:r>
    </w:p>
    <w:p w14:paraId="64A6B43E" w14:textId="21CA9A69" w:rsidR="008D29FD" w:rsidRDefault="008A00B0" w:rsidP="00283AE1">
      <w:pPr>
        <w:ind w:right="2268"/>
      </w:pPr>
      <w:r>
        <w:t xml:space="preserve">Einige </w:t>
      </w:r>
      <w:r w:rsidR="00CF2607">
        <w:t xml:space="preserve">Produkte </w:t>
      </w:r>
      <w:r w:rsidR="00283AE1">
        <w:t xml:space="preserve">bemerken </w:t>
      </w:r>
      <w:r w:rsidR="00EF6F0D">
        <w:t xml:space="preserve">zwar </w:t>
      </w:r>
      <w:r w:rsidR="00246EF1">
        <w:t>die Angreifer im jeweiligen Szenario</w:t>
      </w:r>
      <w:r w:rsidR="00EF6F0D">
        <w:t>,</w:t>
      </w:r>
      <w:r w:rsidR="00A93613">
        <w:t xml:space="preserve"> </w:t>
      </w:r>
      <w:r w:rsidR="00283AE1">
        <w:t xml:space="preserve">verhindern </w:t>
      </w:r>
      <w:r w:rsidR="00EF6F0D">
        <w:t xml:space="preserve">aber erst </w:t>
      </w:r>
      <w:r w:rsidR="00246EF1">
        <w:t xml:space="preserve">in weiteren Schritten </w:t>
      </w:r>
      <w:r w:rsidR="00B81F5F">
        <w:t xml:space="preserve">das desaströse Werk der Malware. </w:t>
      </w:r>
      <w:r w:rsidR="00283AE1" w:rsidRPr="007C6334">
        <w:t>Umgekehrt gelingt die Abwehr manchmal nicht, obwohl die Schadsoftware bereits identifiziert ist.</w:t>
      </w:r>
    </w:p>
    <w:p w14:paraId="74C0C327" w14:textId="343871C6" w:rsidR="00CF2607" w:rsidRDefault="004F656E" w:rsidP="00481CCA">
      <w:pPr>
        <w:ind w:right="2268"/>
      </w:pPr>
      <w:r>
        <w:lastRenderedPageBreak/>
        <w:t xml:space="preserve">Dennoch beweisen </w:t>
      </w:r>
      <w:r w:rsidR="00F51FC3">
        <w:t xml:space="preserve">viele der geprüften Produkte, dass </w:t>
      </w:r>
      <w:r w:rsidR="008D29FD">
        <w:t xml:space="preserve">die Entwicklerteams der Security-Unternehmen </w:t>
      </w:r>
      <w:r w:rsidR="00D86BC8">
        <w:t xml:space="preserve">einen guten Job machen und den Angreifern </w:t>
      </w:r>
      <w:r w:rsidR="00C31830">
        <w:t xml:space="preserve">weiterhin </w:t>
      </w:r>
      <w:r w:rsidR="00C578AB">
        <w:t xml:space="preserve">einen </w:t>
      </w:r>
      <w:r>
        <w:t xml:space="preserve">entscheidenden </w:t>
      </w:r>
      <w:r w:rsidR="00D86BC8">
        <w:t>Schritt voraus sind</w:t>
      </w:r>
      <w:r w:rsidR="00C578AB">
        <w:t>.</w:t>
      </w:r>
    </w:p>
    <w:p w14:paraId="77D78AA8" w14:textId="77777777" w:rsidR="00C578AB" w:rsidRDefault="00C578AB">
      <w:pPr>
        <w:ind w:right="2268"/>
        <w:rPr>
          <w:shd w:val="clear" w:color="auto" w:fill="FFFF00"/>
        </w:rPr>
      </w:pPr>
    </w:p>
    <w:p w14:paraId="67691CCB" w14:textId="48DE6338" w:rsidR="00FE7944" w:rsidRDefault="00426962">
      <w:pPr>
        <w:ind w:right="2268"/>
      </w:pPr>
      <w:r>
        <w:rPr>
          <w:noProof/>
        </w:rPr>
        <w:drawing>
          <wp:inline distT="0" distB="0" distL="0" distR="0" wp14:anchorId="44DFEC25" wp14:editId="05150495">
            <wp:extent cx="3584713" cy="2164348"/>
            <wp:effectExtent l="0" t="0" r="0" b="7620"/>
            <wp:docPr id="71523961" name="Grafik 1" descr="Ein Bild, das Text, Screenshot, Software, Schrif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523961" name="Grafik 1" descr="Ein Bild, das Text, Screenshot, Software, Schrift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8899" cy="2172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127379" w14:textId="1749DAA2" w:rsidR="00DE63CC" w:rsidRPr="00FB09D7" w:rsidRDefault="00CC38E4">
      <w:pPr>
        <w:ind w:right="2268"/>
        <w:rPr>
          <w:b/>
          <w:bCs/>
        </w:rPr>
      </w:pPr>
      <w:r w:rsidRPr="00FB09D7">
        <w:rPr>
          <w:b/>
          <w:bCs/>
        </w:rPr>
        <w:t>Security-Pakete für Privatanwender</w:t>
      </w:r>
      <w:r w:rsidR="00CA6AD0">
        <w:rPr>
          <w:b/>
          <w:bCs/>
        </w:rPr>
        <w:t xml:space="preserve"> im ATP-Test</w:t>
      </w:r>
    </w:p>
    <w:p w14:paraId="70054CCB" w14:textId="3DAFD7CE" w:rsidR="00866336" w:rsidRDefault="00CA6AD0">
      <w:pPr>
        <w:ind w:right="2268"/>
      </w:pPr>
      <w:r>
        <w:t xml:space="preserve">Im aktuellen </w:t>
      </w:r>
      <w:r w:rsidR="00866336" w:rsidRPr="00F80DA7">
        <w:t>Advanced Threat Protection-Test</w:t>
      </w:r>
      <w:r w:rsidR="00866336">
        <w:t xml:space="preserve"> unter Windows 10 </w:t>
      </w:r>
      <w:r w:rsidR="00A6456A">
        <w:t xml:space="preserve">sind </w:t>
      </w:r>
      <w:r w:rsidR="00A93D24">
        <w:t>nicht alle Secur</w:t>
      </w:r>
      <w:r w:rsidR="00F21127">
        <w:t xml:space="preserve">ity-Lösungen den Angreifern </w:t>
      </w:r>
      <w:r w:rsidR="00A6456A">
        <w:t>gewachsen</w:t>
      </w:r>
    </w:p>
    <w:p w14:paraId="6E55D532" w14:textId="62867B8C" w:rsidR="00FE7944" w:rsidRDefault="00426962">
      <w:pPr>
        <w:ind w:right="2268"/>
      </w:pPr>
      <w:r>
        <w:rPr>
          <w:noProof/>
        </w:rPr>
        <w:drawing>
          <wp:inline distT="0" distB="0" distL="0" distR="0" wp14:anchorId="6B43D048" wp14:editId="40151D62">
            <wp:extent cx="3591339" cy="1998467"/>
            <wp:effectExtent l="0" t="0" r="9525" b="1905"/>
            <wp:docPr id="1535725585" name="Grafik 2" descr="Ein Bild, das Text, Screenshot, Software, Computersymbo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5725585" name="Grafik 2" descr="Ein Bild, das Text, Screenshot, Software, Computersymbol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5071" cy="2006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7B79C7" w14:textId="50F5342A" w:rsidR="00983015" w:rsidRDefault="00D8167B" w:rsidP="00983015">
      <w:pPr>
        <w:ind w:right="2268"/>
        <w:rPr>
          <w:b/>
          <w:bCs/>
        </w:rPr>
      </w:pPr>
      <w:r>
        <w:rPr>
          <w:b/>
          <w:bCs/>
        </w:rPr>
        <w:t>Endpoint-</w:t>
      </w:r>
      <w:r w:rsidR="00F21127">
        <w:rPr>
          <w:b/>
          <w:bCs/>
        </w:rPr>
        <w:t>Lösungen im ATP-Test</w:t>
      </w:r>
    </w:p>
    <w:p w14:paraId="2D0D90FE" w14:textId="0EB9330F" w:rsidR="00D8167B" w:rsidRDefault="00813A44">
      <w:pPr>
        <w:ind w:right="2268"/>
      </w:pPr>
      <w:r>
        <w:t xml:space="preserve">Bei den Schutzlösungen für Unternehmen </w:t>
      </w:r>
      <w:r w:rsidR="00FE7944">
        <w:t xml:space="preserve">halten </w:t>
      </w:r>
      <w:r w:rsidR="00724495">
        <w:t xml:space="preserve">5 der </w:t>
      </w:r>
      <w:r w:rsidR="00436BA9">
        <w:t>8</w:t>
      </w:r>
      <w:r>
        <w:t xml:space="preserve"> untersuchten Lösungen</w:t>
      </w:r>
      <w:r w:rsidR="00386750">
        <w:t xml:space="preserve"> in allen 10 Szenarien den Angriffen stand</w:t>
      </w:r>
    </w:p>
    <w:p w14:paraId="5C127380" w14:textId="77777777" w:rsidR="00DE63CC" w:rsidRDefault="00DE63CC">
      <w:pPr>
        <w:ind w:right="2268"/>
      </w:pPr>
    </w:p>
    <w:p w14:paraId="5C127382" w14:textId="77777777" w:rsidR="00DE63CC" w:rsidRDefault="00DC0117">
      <w:pPr>
        <w:ind w:right="2268"/>
        <w:rPr>
          <w:b/>
          <w:bCs/>
        </w:rPr>
      </w:pPr>
      <w:r>
        <w:rPr>
          <w:b/>
          <w:bCs/>
        </w:rPr>
        <w:t>Die 10 Testszenarien</w:t>
      </w:r>
    </w:p>
    <w:p w14:paraId="04728FD7" w14:textId="73CC31F3" w:rsidR="005D6172" w:rsidRDefault="00DC0117">
      <w:pPr>
        <w:ind w:right="2268"/>
      </w:pPr>
      <w:r>
        <w:t>Alle Angriffsszenarien sind dokumentiert nach dem Standard der MITRE ATT&amp;CK-Datenbank. Die einzelnen Unterpunkte, z.B. „T1566.001,“ stehen in der MITRE-Datenbank für „Techniques“ unter „Phishing: Spearphishing Attachment“. Jeder Testschritt ist so unter Fachleuten definiert und lässt sich nachvollziehen. Zusätzlich sind alle Angriffstechniken erklärt und wie dabei die Malware zum Zuge kommt.</w:t>
      </w:r>
    </w:p>
    <w:sectPr w:rsidR="005D6172">
      <w:headerReference w:type="default" r:id="rId11"/>
      <w:footerReference w:type="default" r:id="rId12"/>
      <w:pgSz w:w="11900" w:h="16840"/>
      <w:pgMar w:top="1417" w:right="991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157F03" w14:textId="77777777" w:rsidR="0031491E" w:rsidRDefault="0031491E">
      <w:pPr>
        <w:spacing w:after="0" w:line="240" w:lineRule="auto"/>
      </w:pPr>
      <w:r>
        <w:separator/>
      </w:r>
    </w:p>
  </w:endnote>
  <w:endnote w:type="continuationSeparator" w:id="0">
    <w:p w14:paraId="5A0B5C02" w14:textId="77777777" w:rsidR="0031491E" w:rsidRDefault="00314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2738B" w14:textId="77777777" w:rsidR="00DE63CC" w:rsidRDefault="00DE63CC">
    <w:pPr>
      <w:pStyle w:val="Kopf-undFuzeilen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F361BD" w14:textId="77777777" w:rsidR="0031491E" w:rsidRDefault="0031491E">
      <w:pPr>
        <w:spacing w:after="0" w:line="240" w:lineRule="auto"/>
      </w:pPr>
      <w:r>
        <w:separator/>
      </w:r>
    </w:p>
  </w:footnote>
  <w:footnote w:type="continuationSeparator" w:id="0">
    <w:p w14:paraId="6BA4ACEE" w14:textId="77777777" w:rsidR="0031491E" w:rsidRDefault="003149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2738A" w14:textId="77777777" w:rsidR="00DE63CC" w:rsidRDefault="00DE63CC">
    <w:pPr>
      <w:pStyle w:val="Kopf-undFuzeilen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991423"/>
    <w:multiLevelType w:val="multilevel"/>
    <w:tmpl w:val="685E7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71327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63CC"/>
    <w:rsid w:val="0000012E"/>
    <w:rsid w:val="00001396"/>
    <w:rsid w:val="0000224F"/>
    <w:rsid w:val="00004DF1"/>
    <w:rsid w:val="00005B6D"/>
    <w:rsid w:val="00006868"/>
    <w:rsid w:val="00007ECA"/>
    <w:rsid w:val="000118ED"/>
    <w:rsid w:val="000121C3"/>
    <w:rsid w:val="00013E11"/>
    <w:rsid w:val="00015094"/>
    <w:rsid w:val="000161AF"/>
    <w:rsid w:val="0001641B"/>
    <w:rsid w:val="000176CE"/>
    <w:rsid w:val="00022947"/>
    <w:rsid w:val="0002454B"/>
    <w:rsid w:val="000256B5"/>
    <w:rsid w:val="0003343C"/>
    <w:rsid w:val="000415C6"/>
    <w:rsid w:val="000420DA"/>
    <w:rsid w:val="00044259"/>
    <w:rsid w:val="00050E1B"/>
    <w:rsid w:val="00052CBA"/>
    <w:rsid w:val="00052E0C"/>
    <w:rsid w:val="000541C1"/>
    <w:rsid w:val="00055EFB"/>
    <w:rsid w:val="00056969"/>
    <w:rsid w:val="0005785A"/>
    <w:rsid w:val="00060CF5"/>
    <w:rsid w:val="0006189C"/>
    <w:rsid w:val="00064BAA"/>
    <w:rsid w:val="00073621"/>
    <w:rsid w:val="00073873"/>
    <w:rsid w:val="000747AF"/>
    <w:rsid w:val="00074864"/>
    <w:rsid w:val="000767B1"/>
    <w:rsid w:val="00081F2D"/>
    <w:rsid w:val="00083493"/>
    <w:rsid w:val="00085AAE"/>
    <w:rsid w:val="00090FBF"/>
    <w:rsid w:val="0009122F"/>
    <w:rsid w:val="000A06F9"/>
    <w:rsid w:val="000A22BF"/>
    <w:rsid w:val="000A3899"/>
    <w:rsid w:val="000A5E72"/>
    <w:rsid w:val="000A76CB"/>
    <w:rsid w:val="000B0D77"/>
    <w:rsid w:val="000B463F"/>
    <w:rsid w:val="000B73BF"/>
    <w:rsid w:val="000C0866"/>
    <w:rsid w:val="000C3840"/>
    <w:rsid w:val="000C5443"/>
    <w:rsid w:val="000D0D25"/>
    <w:rsid w:val="000D1923"/>
    <w:rsid w:val="000D362E"/>
    <w:rsid w:val="000D3A9F"/>
    <w:rsid w:val="000D4813"/>
    <w:rsid w:val="000D5598"/>
    <w:rsid w:val="000D5E33"/>
    <w:rsid w:val="000E3D14"/>
    <w:rsid w:val="000E5A7E"/>
    <w:rsid w:val="000E6BFF"/>
    <w:rsid w:val="000F0587"/>
    <w:rsid w:val="000F1848"/>
    <w:rsid w:val="000F42EC"/>
    <w:rsid w:val="000F53E6"/>
    <w:rsid w:val="001020E9"/>
    <w:rsid w:val="0010335E"/>
    <w:rsid w:val="00111855"/>
    <w:rsid w:val="00112EA2"/>
    <w:rsid w:val="00116F25"/>
    <w:rsid w:val="00121A4D"/>
    <w:rsid w:val="00122230"/>
    <w:rsid w:val="0012231E"/>
    <w:rsid w:val="0012236C"/>
    <w:rsid w:val="001234E2"/>
    <w:rsid w:val="00123702"/>
    <w:rsid w:val="00124E80"/>
    <w:rsid w:val="00125528"/>
    <w:rsid w:val="00131C1B"/>
    <w:rsid w:val="00131C83"/>
    <w:rsid w:val="0013383B"/>
    <w:rsid w:val="00135660"/>
    <w:rsid w:val="00136D9B"/>
    <w:rsid w:val="001401D7"/>
    <w:rsid w:val="00140569"/>
    <w:rsid w:val="00140597"/>
    <w:rsid w:val="00141382"/>
    <w:rsid w:val="001422F3"/>
    <w:rsid w:val="001449D4"/>
    <w:rsid w:val="0015049A"/>
    <w:rsid w:val="00152875"/>
    <w:rsid w:val="00157C53"/>
    <w:rsid w:val="001642C9"/>
    <w:rsid w:val="00167DBE"/>
    <w:rsid w:val="00170487"/>
    <w:rsid w:val="00170556"/>
    <w:rsid w:val="00174150"/>
    <w:rsid w:val="0017420F"/>
    <w:rsid w:val="001761CB"/>
    <w:rsid w:val="00176B8B"/>
    <w:rsid w:val="00176FF9"/>
    <w:rsid w:val="00182F4F"/>
    <w:rsid w:val="00183FE6"/>
    <w:rsid w:val="001850F6"/>
    <w:rsid w:val="00185FDB"/>
    <w:rsid w:val="00193223"/>
    <w:rsid w:val="00193D86"/>
    <w:rsid w:val="00194CCD"/>
    <w:rsid w:val="00195689"/>
    <w:rsid w:val="001A071C"/>
    <w:rsid w:val="001A2FB2"/>
    <w:rsid w:val="001A3AD4"/>
    <w:rsid w:val="001A4A07"/>
    <w:rsid w:val="001A6881"/>
    <w:rsid w:val="001A69A1"/>
    <w:rsid w:val="001A789B"/>
    <w:rsid w:val="001B133A"/>
    <w:rsid w:val="001B1509"/>
    <w:rsid w:val="001B1FD2"/>
    <w:rsid w:val="001B374E"/>
    <w:rsid w:val="001B739A"/>
    <w:rsid w:val="001C1645"/>
    <w:rsid w:val="001C37B4"/>
    <w:rsid w:val="001C5A3E"/>
    <w:rsid w:val="001C5CE5"/>
    <w:rsid w:val="001D19BA"/>
    <w:rsid w:val="001D2D7C"/>
    <w:rsid w:val="001D7208"/>
    <w:rsid w:val="001D7416"/>
    <w:rsid w:val="001E0963"/>
    <w:rsid w:val="001E20C4"/>
    <w:rsid w:val="001E3BCA"/>
    <w:rsid w:val="001E55E2"/>
    <w:rsid w:val="001E6D6C"/>
    <w:rsid w:val="001F270E"/>
    <w:rsid w:val="001F53F3"/>
    <w:rsid w:val="001F587E"/>
    <w:rsid w:val="001F7BEB"/>
    <w:rsid w:val="00200106"/>
    <w:rsid w:val="00200E9F"/>
    <w:rsid w:val="002027CE"/>
    <w:rsid w:val="00203015"/>
    <w:rsid w:val="00203078"/>
    <w:rsid w:val="002053B6"/>
    <w:rsid w:val="00206495"/>
    <w:rsid w:val="00207319"/>
    <w:rsid w:val="00210913"/>
    <w:rsid w:val="0022009F"/>
    <w:rsid w:val="00220763"/>
    <w:rsid w:val="00221FDE"/>
    <w:rsid w:val="00223A80"/>
    <w:rsid w:val="0022525A"/>
    <w:rsid w:val="00225CE0"/>
    <w:rsid w:val="002261C8"/>
    <w:rsid w:val="002262C8"/>
    <w:rsid w:val="0022673D"/>
    <w:rsid w:val="002275B9"/>
    <w:rsid w:val="002276AB"/>
    <w:rsid w:val="00231EDC"/>
    <w:rsid w:val="00232A4D"/>
    <w:rsid w:val="002345D6"/>
    <w:rsid w:val="00240A9E"/>
    <w:rsid w:val="002420F4"/>
    <w:rsid w:val="002425C0"/>
    <w:rsid w:val="00243540"/>
    <w:rsid w:val="00246922"/>
    <w:rsid w:val="00246EF1"/>
    <w:rsid w:val="0025308C"/>
    <w:rsid w:val="00255885"/>
    <w:rsid w:val="0025674C"/>
    <w:rsid w:val="00256AD9"/>
    <w:rsid w:val="002578BD"/>
    <w:rsid w:val="002602B5"/>
    <w:rsid w:val="0026372D"/>
    <w:rsid w:val="00263C9F"/>
    <w:rsid w:val="00264C03"/>
    <w:rsid w:val="00265326"/>
    <w:rsid w:val="00267848"/>
    <w:rsid w:val="00267F9D"/>
    <w:rsid w:val="0027113F"/>
    <w:rsid w:val="0027441A"/>
    <w:rsid w:val="00274850"/>
    <w:rsid w:val="002774E5"/>
    <w:rsid w:val="00280126"/>
    <w:rsid w:val="0028113A"/>
    <w:rsid w:val="002819E5"/>
    <w:rsid w:val="00283AE1"/>
    <w:rsid w:val="00283D5C"/>
    <w:rsid w:val="00285765"/>
    <w:rsid w:val="00285EB8"/>
    <w:rsid w:val="00291FD8"/>
    <w:rsid w:val="00292967"/>
    <w:rsid w:val="00293A95"/>
    <w:rsid w:val="00297483"/>
    <w:rsid w:val="002A0B27"/>
    <w:rsid w:val="002A6C57"/>
    <w:rsid w:val="002B21C5"/>
    <w:rsid w:val="002B440A"/>
    <w:rsid w:val="002B53E7"/>
    <w:rsid w:val="002B6A2E"/>
    <w:rsid w:val="002C13B9"/>
    <w:rsid w:val="002C1486"/>
    <w:rsid w:val="002C4CA3"/>
    <w:rsid w:val="002C504F"/>
    <w:rsid w:val="002D4227"/>
    <w:rsid w:val="002D5690"/>
    <w:rsid w:val="002D5937"/>
    <w:rsid w:val="002D79B1"/>
    <w:rsid w:val="002E116A"/>
    <w:rsid w:val="002E20BC"/>
    <w:rsid w:val="002E47B1"/>
    <w:rsid w:val="002F0AB6"/>
    <w:rsid w:val="002F21A3"/>
    <w:rsid w:val="002F2D6C"/>
    <w:rsid w:val="002F36E1"/>
    <w:rsid w:val="002F4C7A"/>
    <w:rsid w:val="002F68E0"/>
    <w:rsid w:val="00303489"/>
    <w:rsid w:val="00304192"/>
    <w:rsid w:val="003053DF"/>
    <w:rsid w:val="0031491E"/>
    <w:rsid w:val="00314C01"/>
    <w:rsid w:val="0031726B"/>
    <w:rsid w:val="00323BCC"/>
    <w:rsid w:val="00324596"/>
    <w:rsid w:val="0032598F"/>
    <w:rsid w:val="00330000"/>
    <w:rsid w:val="00337332"/>
    <w:rsid w:val="00337E17"/>
    <w:rsid w:val="00340199"/>
    <w:rsid w:val="003443E3"/>
    <w:rsid w:val="00346235"/>
    <w:rsid w:val="003468C2"/>
    <w:rsid w:val="00351699"/>
    <w:rsid w:val="00351AB3"/>
    <w:rsid w:val="00351D44"/>
    <w:rsid w:val="00360A94"/>
    <w:rsid w:val="00361189"/>
    <w:rsid w:val="0036332F"/>
    <w:rsid w:val="00365395"/>
    <w:rsid w:val="00365749"/>
    <w:rsid w:val="00371649"/>
    <w:rsid w:val="00375343"/>
    <w:rsid w:val="00375869"/>
    <w:rsid w:val="003813FE"/>
    <w:rsid w:val="00386750"/>
    <w:rsid w:val="003914AB"/>
    <w:rsid w:val="00392956"/>
    <w:rsid w:val="003A116F"/>
    <w:rsid w:val="003A287C"/>
    <w:rsid w:val="003A489D"/>
    <w:rsid w:val="003A6759"/>
    <w:rsid w:val="003A6990"/>
    <w:rsid w:val="003B18AA"/>
    <w:rsid w:val="003B4373"/>
    <w:rsid w:val="003B4430"/>
    <w:rsid w:val="003B5957"/>
    <w:rsid w:val="003B784F"/>
    <w:rsid w:val="003C1083"/>
    <w:rsid w:val="003C1343"/>
    <w:rsid w:val="003C33E6"/>
    <w:rsid w:val="003C426F"/>
    <w:rsid w:val="003C4B62"/>
    <w:rsid w:val="003C64C8"/>
    <w:rsid w:val="003C6AB6"/>
    <w:rsid w:val="003D2698"/>
    <w:rsid w:val="003D4F7A"/>
    <w:rsid w:val="003D622E"/>
    <w:rsid w:val="003D6A85"/>
    <w:rsid w:val="003D6DB0"/>
    <w:rsid w:val="003E00D4"/>
    <w:rsid w:val="003E103E"/>
    <w:rsid w:val="003E2E32"/>
    <w:rsid w:val="003E33D9"/>
    <w:rsid w:val="003E400C"/>
    <w:rsid w:val="003E7A98"/>
    <w:rsid w:val="003F394C"/>
    <w:rsid w:val="003F7D53"/>
    <w:rsid w:val="0040064A"/>
    <w:rsid w:val="004010BA"/>
    <w:rsid w:val="00402622"/>
    <w:rsid w:val="0040404E"/>
    <w:rsid w:val="00406221"/>
    <w:rsid w:val="00407410"/>
    <w:rsid w:val="0040762D"/>
    <w:rsid w:val="004079A8"/>
    <w:rsid w:val="004115ED"/>
    <w:rsid w:val="00412D32"/>
    <w:rsid w:val="0041304B"/>
    <w:rsid w:val="0041649B"/>
    <w:rsid w:val="004200F0"/>
    <w:rsid w:val="00420733"/>
    <w:rsid w:val="00420A81"/>
    <w:rsid w:val="004210A1"/>
    <w:rsid w:val="0042166F"/>
    <w:rsid w:val="00421E01"/>
    <w:rsid w:val="004247DD"/>
    <w:rsid w:val="00425586"/>
    <w:rsid w:val="00426962"/>
    <w:rsid w:val="00432F51"/>
    <w:rsid w:val="0043432A"/>
    <w:rsid w:val="0043493C"/>
    <w:rsid w:val="00436A7E"/>
    <w:rsid w:val="00436BA9"/>
    <w:rsid w:val="0043779E"/>
    <w:rsid w:val="00440129"/>
    <w:rsid w:val="004405B2"/>
    <w:rsid w:val="00442E06"/>
    <w:rsid w:val="00443673"/>
    <w:rsid w:val="004458B4"/>
    <w:rsid w:val="00446235"/>
    <w:rsid w:val="00446E32"/>
    <w:rsid w:val="004472E5"/>
    <w:rsid w:val="0044749B"/>
    <w:rsid w:val="00451928"/>
    <w:rsid w:val="00452766"/>
    <w:rsid w:val="00453AB7"/>
    <w:rsid w:val="00453CF7"/>
    <w:rsid w:val="00456755"/>
    <w:rsid w:val="00462433"/>
    <w:rsid w:val="0046276F"/>
    <w:rsid w:val="00463D36"/>
    <w:rsid w:val="00464164"/>
    <w:rsid w:val="00470A6F"/>
    <w:rsid w:val="00472B4A"/>
    <w:rsid w:val="00476832"/>
    <w:rsid w:val="00477253"/>
    <w:rsid w:val="00477D18"/>
    <w:rsid w:val="00481CCA"/>
    <w:rsid w:val="0048325A"/>
    <w:rsid w:val="0048484A"/>
    <w:rsid w:val="00484881"/>
    <w:rsid w:val="00484906"/>
    <w:rsid w:val="00485EBB"/>
    <w:rsid w:val="00490BF0"/>
    <w:rsid w:val="0049323E"/>
    <w:rsid w:val="00493665"/>
    <w:rsid w:val="00494277"/>
    <w:rsid w:val="00495733"/>
    <w:rsid w:val="004976D6"/>
    <w:rsid w:val="004A1653"/>
    <w:rsid w:val="004A32FB"/>
    <w:rsid w:val="004B2AF5"/>
    <w:rsid w:val="004C5E0E"/>
    <w:rsid w:val="004C5FD7"/>
    <w:rsid w:val="004C6748"/>
    <w:rsid w:val="004D108D"/>
    <w:rsid w:val="004D39F0"/>
    <w:rsid w:val="004D7200"/>
    <w:rsid w:val="004E2C3A"/>
    <w:rsid w:val="004E2EF5"/>
    <w:rsid w:val="004E36BA"/>
    <w:rsid w:val="004E5567"/>
    <w:rsid w:val="004E6906"/>
    <w:rsid w:val="004F0E8D"/>
    <w:rsid w:val="004F4386"/>
    <w:rsid w:val="004F45E0"/>
    <w:rsid w:val="004F656E"/>
    <w:rsid w:val="00501B3A"/>
    <w:rsid w:val="00502868"/>
    <w:rsid w:val="00503429"/>
    <w:rsid w:val="00503803"/>
    <w:rsid w:val="00504374"/>
    <w:rsid w:val="005045D1"/>
    <w:rsid w:val="005061B1"/>
    <w:rsid w:val="0050702F"/>
    <w:rsid w:val="00515603"/>
    <w:rsid w:val="00516885"/>
    <w:rsid w:val="00523298"/>
    <w:rsid w:val="0052375C"/>
    <w:rsid w:val="0052563E"/>
    <w:rsid w:val="0052727D"/>
    <w:rsid w:val="0053090C"/>
    <w:rsid w:val="0053124E"/>
    <w:rsid w:val="00531684"/>
    <w:rsid w:val="00531A96"/>
    <w:rsid w:val="0053281F"/>
    <w:rsid w:val="00532E5C"/>
    <w:rsid w:val="00534394"/>
    <w:rsid w:val="005376F6"/>
    <w:rsid w:val="00540A37"/>
    <w:rsid w:val="0054336A"/>
    <w:rsid w:val="005435D7"/>
    <w:rsid w:val="00544E51"/>
    <w:rsid w:val="00544FD6"/>
    <w:rsid w:val="0055220D"/>
    <w:rsid w:val="00552440"/>
    <w:rsid w:val="00555DB2"/>
    <w:rsid w:val="00556A62"/>
    <w:rsid w:val="00556BA7"/>
    <w:rsid w:val="00564407"/>
    <w:rsid w:val="00566D16"/>
    <w:rsid w:val="005673D2"/>
    <w:rsid w:val="00571086"/>
    <w:rsid w:val="00571783"/>
    <w:rsid w:val="00572FF1"/>
    <w:rsid w:val="0057493B"/>
    <w:rsid w:val="005827B0"/>
    <w:rsid w:val="00583B28"/>
    <w:rsid w:val="005874F9"/>
    <w:rsid w:val="00587899"/>
    <w:rsid w:val="00590BC5"/>
    <w:rsid w:val="00590DA4"/>
    <w:rsid w:val="00594125"/>
    <w:rsid w:val="00594C20"/>
    <w:rsid w:val="00596BE8"/>
    <w:rsid w:val="00597852"/>
    <w:rsid w:val="005A05E3"/>
    <w:rsid w:val="005A1DF1"/>
    <w:rsid w:val="005A56FF"/>
    <w:rsid w:val="005A59F8"/>
    <w:rsid w:val="005B10C9"/>
    <w:rsid w:val="005B1AD4"/>
    <w:rsid w:val="005B4D74"/>
    <w:rsid w:val="005C2859"/>
    <w:rsid w:val="005C464C"/>
    <w:rsid w:val="005C4FB3"/>
    <w:rsid w:val="005D0192"/>
    <w:rsid w:val="005D0C04"/>
    <w:rsid w:val="005D1B24"/>
    <w:rsid w:val="005D34AF"/>
    <w:rsid w:val="005D5557"/>
    <w:rsid w:val="005D6172"/>
    <w:rsid w:val="005D78CF"/>
    <w:rsid w:val="005E1032"/>
    <w:rsid w:val="005E64AA"/>
    <w:rsid w:val="005E7325"/>
    <w:rsid w:val="005F0F51"/>
    <w:rsid w:val="005F2C8D"/>
    <w:rsid w:val="005F3A25"/>
    <w:rsid w:val="006003A4"/>
    <w:rsid w:val="00601631"/>
    <w:rsid w:val="00612C6C"/>
    <w:rsid w:val="006164D2"/>
    <w:rsid w:val="006176B4"/>
    <w:rsid w:val="00617E42"/>
    <w:rsid w:val="006222F2"/>
    <w:rsid w:val="0062430B"/>
    <w:rsid w:val="00625344"/>
    <w:rsid w:val="0063022B"/>
    <w:rsid w:val="00631C71"/>
    <w:rsid w:val="00637260"/>
    <w:rsid w:val="0064015B"/>
    <w:rsid w:val="006417EC"/>
    <w:rsid w:val="00642B29"/>
    <w:rsid w:val="00643115"/>
    <w:rsid w:val="0064494F"/>
    <w:rsid w:val="00645720"/>
    <w:rsid w:val="00645B06"/>
    <w:rsid w:val="0064662F"/>
    <w:rsid w:val="00646F54"/>
    <w:rsid w:val="006472E3"/>
    <w:rsid w:val="0065018B"/>
    <w:rsid w:val="00650D06"/>
    <w:rsid w:val="00651F18"/>
    <w:rsid w:val="00652974"/>
    <w:rsid w:val="006565A4"/>
    <w:rsid w:val="00656C83"/>
    <w:rsid w:val="006605F4"/>
    <w:rsid w:val="00660F66"/>
    <w:rsid w:val="006620B5"/>
    <w:rsid w:val="006626F8"/>
    <w:rsid w:val="006629A6"/>
    <w:rsid w:val="00666890"/>
    <w:rsid w:val="00671C86"/>
    <w:rsid w:val="0067399B"/>
    <w:rsid w:val="00675520"/>
    <w:rsid w:val="00676667"/>
    <w:rsid w:val="00676D89"/>
    <w:rsid w:val="0067710B"/>
    <w:rsid w:val="0067737B"/>
    <w:rsid w:val="00680FB9"/>
    <w:rsid w:val="00684AD5"/>
    <w:rsid w:val="006870FC"/>
    <w:rsid w:val="00687DC5"/>
    <w:rsid w:val="006908D7"/>
    <w:rsid w:val="00694A91"/>
    <w:rsid w:val="00695AA5"/>
    <w:rsid w:val="00697FAA"/>
    <w:rsid w:val="006A067D"/>
    <w:rsid w:val="006A5612"/>
    <w:rsid w:val="006A6500"/>
    <w:rsid w:val="006B1A9A"/>
    <w:rsid w:val="006B201C"/>
    <w:rsid w:val="006B2BB5"/>
    <w:rsid w:val="006B6D8C"/>
    <w:rsid w:val="006C2DA5"/>
    <w:rsid w:val="006C36CB"/>
    <w:rsid w:val="006C63BE"/>
    <w:rsid w:val="006C6BBC"/>
    <w:rsid w:val="006D566D"/>
    <w:rsid w:val="006D6FDF"/>
    <w:rsid w:val="006D7275"/>
    <w:rsid w:val="006E025E"/>
    <w:rsid w:val="006E0F14"/>
    <w:rsid w:val="006E41E7"/>
    <w:rsid w:val="006E57DE"/>
    <w:rsid w:val="006E6C39"/>
    <w:rsid w:val="006F0183"/>
    <w:rsid w:val="006F20A5"/>
    <w:rsid w:val="006F285E"/>
    <w:rsid w:val="006F2F08"/>
    <w:rsid w:val="006F5809"/>
    <w:rsid w:val="006F6ADE"/>
    <w:rsid w:val="0070248C"/>
    <w:rsid w:val="00707487"/>
    <w:rsid w:val="00713922"/>
    <w:rsid w:val="00715D0B"/>
    <w:rsid w:val="00716C25"/>
    <w:rsid w:val="0071730F"/>
    <w:rsid w:val="00720E74"/>
    <w:rsid w:val="00721397"/>
    <w:rsid w:val="007226CD"/>
    <w:rsid w:val="00723577"/>
    <w:rsid w:val="00723D0A"/>
    <w:rsid w:val="00724495"/>
    <w:rsid w:val="0072591F"/>
    <w:rsid w:val="00727FBB"/>
    <w:rsid w:val="007303BA"/>
    <w:rsid w:val="00731D9A"/>
    <w:rsid w:val="0073275B"/>
    <w:rsid w:val="00734D93"/>
    <w:rsid w:val="00735A5D"/>
    <w:rsid w:val="00737065"/>
    <w:rsid w:val="0074185E"/>
    <w:rsid w:val="00742B9A"/>
    <w:rsid w:val="00743107"/>
    <w:rsid w:val="0074649C"/>
    <w:rsid w:val="00746501"/>
    <w:rsid w:val="00752122"/>
    <w:rsid w:val="00752E5E"/>
    <w:rsid w:val="0075351F"/>
    <w:rsid w:val="0075375A"/>
    <w:rsid w:val="007541FD"/>
    <w:rsid w:val="00756CD2"/>
    <w:rsid w:val="007575BB"/>
    <w:rsid w:val="0075783F"/>
    <w:rsid w:val="007604FE"/>
    <w:rsid w:val="0076507F"/>
    <w:rsid w:val="0076535E"/>
    <w:rsid w:val="00765592"/>
    <w:rsid w:val="0076666F"/>
    <w:rsid w:val="00766920"/>
    <w:rsid w:val="007704E7"/>
    <w:rsid w:val="007708E5"/>
    <w:rsid w:val="00770F58"/>
    <w:rsid w:val="00774E9B"/>
    <w:rsid w:val="00774ECF"/>
    <w:rsid w:val="0077541E"/>
    <w:rsid w:val="00775805"/>
    <w:rsid w:val="0077681E"/>
    <w:rsid w:val="00777CF2"/>
    <w:rsid w:val="00782451"/>
    <w:rsid w:val="00785DB7"/>
    <w:rsid w:val="00786854"/>
    <w:rsid w:val="00790F93"/>
    <w:rsid w:val="007A56B4"/>
    <w:rsid w:val="007B4DC4"/>
    <w:rsid w:val="007B636B"/>
    <w:rsid w:val="007C0386"/>
    <w:rsid w:val="007C1871"/>
    <w:rsid w:val="007C1BE2"/>
    <w:rsid w:val="007C3531"/>
    <w:rsid w:val="007C4EA4"/>
    <w:rsid w:val="007C6334"/>
    <w:rsid w:val="007C6DC4"/>
    <w:rsid w:val="007C71CD"/>
    <w:rsid w:val="007C7A07"/>
    <w:rsid w:val="007D09DB"/>
    <w:rsid w:val="007D2F2F"/>
    <w:rsid w:val="007D30C9"/>
    <w:rsid w:val="007E0AFB"/>
    <w:rsid w:val="007E228B"/>
    <w:rsid w:val="007E4FB8"/>
    <w:rsid w:val="007E5043"/>
    <w:rsid w:val="007E7865"/>
    <w:rsid w:val="007F2A19"/>
    <w:rsid w:val="007F2FF4"/>
    <w:rsid w:val="007F3924"/>
    <w:rsid w:val="007F63D6"/>
    <w:rsid w:val="007F7119"/>
    <w:rsid w:val="007F75B0"/>
    <w:rsid w:val="008005AE"/>
    <w:rsid w:val="00801E16"/>
    <w:rsid w:val="008043FC"/>
    <w:rsid w:val="00807F3A"/>
    <w:rsid w:val="00807F4A"/>
    <w:rsid w:val="0081056A"/>
    <w:rsid w:val="00812AD1"/>
    <w:rsid w:val="00813865"/>
    <w:rsid w:val="00813A44"/>
    <w:rsid w:val="00814AB2"/>
    <w:rsid w:val="008207ED"/>
    <w:rsid w:val="00820A9A"/>
    <w:rsid w:val="00822C4D"/>
    <w:rsid w:val="008238AA"/>
    <w:rsid w:val="00823F91"/>
    <w:rsid w:val="008241DE"/>
    <w:rsid w:val="00825842"/>
    <w:rsid w:val="008260A6"/>
    <w:rsid w:val="008277A9"/>
    <w:rsid w:val="00830FBF"/>
    <w:rsid w:val="008329F0"/>
    <w:rsid w:val="00832ADD"/>
    <w:rsid w:val="00832ECC"/>
    <w:rsid w:val="008330E2"/>
    <w:rsid w:val="008347F3"/>
    <w:rsid w:val="0083667F"/>
    <w:rsid w:val="00837E94"/>
    <w:rsid w:val="00841F4B"/>
    <w:rsid w:val="00842EB2"/>
    <w:rsid w:val="008436F5"/>
    <w:rsid w:val="00847DC9"/>
    <w:rsid w:val="0085059E"/>
    <w:rsid w:val="0085153E"/>
    <w:rsid w:val="00854970"/>
    <w:rsid w:val="008558EA"/>
    <w:rsid w:val="00860134"/>
    <w:rsid w:val="008639FB"/>
    <w:rsid w:val="00866336"/>
    <w:rsid w:val="00866633"/>
    <w:rsid w:val="00870171"/>
    <w:rsid w:val="00871384"/>
    <w:rsid w:val="008739BA"/>
    <w:rsid w:val="00874957"/>
    <w:rsid w:val="00874A6C"/>
    <w:rsid w:val="00874C3C"/>
    <w:rsid w:val="008750EB"/>
    <w:rsid w:val="008756CE"/>
    <w:rsid w:val="00877195"/>
    <w:rsid w:val="008772DB"/>
    <w:rsid w:val="00877DB0"/>
    <w:rsid w:val="008815A8"/>
    <w:rsid w:val="00881AFA"/>
    <w:rsid w:val="0088232C"/>
    <w:rsid w:val="0088242D"/>
    <w:rsid w:val="00882D8E"/>
    <w:rsid w:val="008841B8"/>
    <w:rsid w:val="008849AD"/>
    <w:rsid w:val="00885B39"/>
    <w:rsid w:val="00886FCF"/>
    <w:rsid w:val="0088763B"/>
    <w:rsid w:val="00892418"/>
    <w:rsid w:val="00892C6E"/>
    <w:rsid w:val="00894C1C"/>
    <w:rsid w:val="008969FD"/>
    <w:rsid w:val="00897E25"/>
    <w:rsid w:val="008A00B0"/>
    <w:rsid w:val="008A0F8F"/>
    <w:rsid w:val="008A2F92"/>
    <w:rsid w:val="008A7DEF"/>
    <w:rsid w:val="008B0106"/>
    <w:rsid w:val="008B1764"/>
    <w:rsid w:val="008B510C"/>
    <w:rsid w:val="008B66A0"/>
    <w:rsid w:val="008B6A9B"/>
    <w:rsid w:val="008C1F16"/>
    <w:rsid w:val="008C30CE"/>
    <w:rsid w:val="008C3636"/>
    <w:rsid w:val="008C3E0A"/>
    <w:rsid w:val="008C5C73"/>
    <w:rsid w:val="008C5D1E"/>
    <w:rsid w:val="008C5D51"/>
    <w:rsid w:val="008C6234"/>
    <w:rsid w:val="008C7235"/>
    <w:rsid w:val="008D29FD"/>
    <w:rsid w:val="008D2F05"/>
    <w:rsid w:val="008D5221"/>
    <w:rsid w:val="008D528E"/>
    <w:rsid w:val="008D65A8"/>
    <w:rsid w:val="008E0469"/>
    <w:rsid w:val="008E2D55"/>
    <w:rsid w:val="008E4640"/>
    <w:rsid w:val="008F0ED5"/>
    <w:rsid w:val="008F33C9"/>
    <w:rsid w:val="008F35AA"/>
    <w:rsid w:val="008F6E87"/>
    <w:rsid w:val="009032EB"/>
    <w:rsid w:val="00905C85"/>
    <w:rsid w:val="0090663B"/>
    <w:rsid w:val="00906923"/>
    <w:rsid w:val="00907F4A"/>
    <w:rsid w:val="00915893"/>
    <w:rsid w:val="00917D37"/>
    <w:rsid w:val="0092304F"/>
    <w:rsid w:val="009233AA"/>
    <w:rsid w:val="009249FE"/>
    <w:rsid w:val="00930CDC"/>
    <w:rsid w:val="00932376"/>
    <w:rsid w:val="00933901"/>
    <w:rsid w:val="00933B8E"/>
    <w:rsid w:val="00934BDB"/>
    <w:rsid w:val="00934BF8"/>
    <w:rsid w:val="00934DBF"/>
    <w:rsid w:val="009350BC"/>
    <w:rsid w:val="00936B1D"/>
    <w:rsid w:val="0093784A"/>
    <w:rsid w:val="00940CBC"/>
    <w:rsid w:val="00942338"/>
    <w:rsid w:val="0094607E"/>
    <w:rsid w:val="00946687"/>
    <w:rsid w:val="009558CE"/>
    <w:rsid w:val="009633B5"/>
    <w:rsid w:val="0096343E"/>
    <w:rsid w:val="00963623"/>
    <w:rsid w:val="00965C70"/>
    <w:rsid w:val="0097054B"/>
    <w:rsid w:val="009714E0"/>
    <w:rsid w:val="00971A17"/>
    <w:rsid w:val="009725DF"/>
    <w:rsid w:val="0097329C"/>
    <w:rsid w:val="00975593"/>
    <w:rsid w:val="00980763"/>
    <w:rsid w:val="009817A0"/>
    <w:rsid w:val="00981D7C"/>
    <w:rsid w:val="00982D90"/>
    <w:rsid w:val="00983015"/>
    <w:rsid w:val="009834B1"/>
    <w:rsid w:val="0098383E"/>
    <w:rsid w:val="009841D1"/>
    <w:rsid w:val="009902A8"/>
    <w:rsid w:val="00990646"/>
    <w:rsid w:val="00993E89"/>
    <w:rsid w:val="009959E7"/>
    <w:rsid w:val="009A18DC"/>
    <w:rsid w:val="009A1D75"/>
    <w:rsid w:val="009A3011"/>
    <w:rsid w:val="009A3581"/>
    <w:rsid w:val="009A38C5"/>
    <w:rsid w:val="009A6CBF"/>
    <w:rsid w:val="009A7D4D"/>
    <w:rsid w:val="009B0753"/>
    <w:rsid w:val="009B12A9"/>
    <w:rsid w:val="009B23D9"/>
    <w:rsid w:val="009B60DC"/>
    <w:rsid w:val="009B66D7"/>
    <w:rsid w:val="009B699E"/>
    <w:rsid w:val="009B7E5F"/>
    <w:rsid w:val="009C144C"/>
    <w:rsid w:val="009C1B5A"/>
    <w:rsid w:val="009C58E4"/>
    <w:rsid w:val="009C62C3"/>
    <w:rsid w:val="009D0B63"/>
    <w:rsid w:val="009E076A"/>
    <w:rsid w:val="009E22B3"/>
    <w:rsid w:val="009E51C1"/>
    <w:rsid w:val="009E584B"/>
    <w:rsid w:val="009F0D1A"/>
    <w:rsid w:val="009F430F"/>
    <w:rsid w:val="009F5E95"/>
    <w:rsid w:val="009F6C53"/>
    <w:rsid w:val="009F7AE9"/>
    <w:rsid w:val="00A01F34"/>
    <w:rsid w:val="00A032C7"/>
    <w:rsid w:val="00A03F52"/>
    <w:rsid w:val="00A05F76"/>
    <w:rsid w:val="00A07238"/>
    <w:rsid w:val="00A1036A"/>
    <w:rsid w:val="00A11503"/>
    <w:rsid w:val="00A13ACC"/>
    <w:rsid w:val="00A14AA6"/>
    <w:rsid w:val="00A226F5"/>
    <w:rsid w:val="00A22C98"/>
    <w:rsid w:val="00A23904"/>
    <w:rsid w:val="00A24E59"/>
    <w:rsid w:val="00A2562D"/>
    <w:rsid w:val="00A25B7A"/>
    <w:rsid w:val="00A26436"/>
    <w:rsid w:val="00A326B8"/>
    <w:rsid w:val="00A33876"/>
    <w:rsid w:val="00A3410E"/>
    <w:rsid w:val="00A34D66"/>
    <w:rsid w:val="00A36D9E"/>
    <w:rsid w:val="00A37E81"/>
    <w:rsid w:val="00A416B6"/>
    <w:rsid w:val="00A44058"/>
    <w:rsid w:val="00A44F51"/>
    <w:rsid w:val="00A47523"/>
    <w:rsid w:val="00A47A05"/>
    <w:rsid w:val="00A50DF8"/>
    <w:rsid w:val="00A518C7"/>
    <w:rsid w:val="00A51E56"/>
    <w:rsid w:val="00A52209"/>
    <w:rsid w:val="00A54DF0"/>
    <w:rsid w:val="00A558DF"/>
    <w:rsid w:val="00A566A5"/>
    <w:rsid w:val="00A5699E"/>
    <w:rsid w:val="00A613C0"/>
    <w:rsid w:val="00A613FB"/>
    <w:rsid w:val="00A6290F"/>
    <w:rsid w:val="00A63413"/>
    <w:rsid w:val="00A6456A"/>
    <w:rsid w:val="00A65964"/>
    <w:rsid w:val="00A67C46"/>
    <w:rsid w:val="00A7157D"/>
    <w:rsid w:val="00A718C4"/>
    <w:rsid w:val="00A71A8A"/>
    <w:rsid w:val="00A7311D"/>
    <w:rsid w:val="00A7391D"/>
    <w:rsid w:val="00A76409"/>
    <w:rsid w:val="00A813AD"/>
    <w:rsid w:val="00A81AD6"/>
    <w:rsid w:val="00A83AA0"/>
    <w:rsid w:val="00A87DFE"/>
    <w:rsid w:val="00A904AB"/>
    <w:rsid w:val="00A93613"/>
    <w:rsid w:val="00A93D24"/>
    <w:rsid w:val="00A9537F"/>
    <w:rsid w:val="00AA05E4"/>
    <w:rsid w:val="00AA1AAF"/>
    <w:rsid w:val="00AA454F"/>
    <w:rsid w:val="00AA4CA8"/>
    <w:rsid w:val="00AB1525"/>
    <w:rsid w:val="00AB3BEE"/>
    <w:rsid w:val="00AB6AAC"/>
    <w:rsid w:val="00AB7C9C"/>
    <w:rsid w:val="00AC0391"/>
    <w:rsid w:val="00AC165A"/>
    <w:rsid w:val="00AC43C0"/>
    <w:rsid w:val="00AC57A9"/>
    <w:rsid w:val="00AC607D"/>
    <w:rsid w:val="00AC6485"/>
    <w:rsid w:val="00AC70AE"/>
    <w:rsid w:val="00AD2EE9"/>
    <w:rsid w:val="00AD3B41"/>
    <w:rsid w:val="00AD4DB1"/>
    <w:rsid w:val="00AD5803"/>
    <w:rsid w:val="00AD7556"/>
    <w:rsid w:val="00AD7C8B"/>
    <w:rsid w:val="00AE01A7"/>
    <w:rsid w:val="00AE101A"/>
    <w:rsid w:val="00AE1C4E"/>
    <w:rsid w:val="00AE2B45"/>
    <w:rsid w:val="00AE4448"/>
    <w:rsid w:val="00AE4C4D"/>
    <w:rsid w:val="00AE7FFE"/>
    <w:rsid w:val="00AF17FE"/>
    <w:rsid w:val="00AF25F8"/>
    <w:rsid w:val="00AF76CD"/>
    <w:rsid w:val="00B02729"/>
    <w:rsid w:val="00B04257"/>
    <w:rsid w:val="00B047C4"/>
    <w:rsid w:val="00B05A47"/>
    <w:rsid w:val="00B07B90"/>
    <w:rsid w:val="00B10889"/>
    <w:rsid w:val="00B10C39"/>
    <w:rsid w:val="00B133E1"/>
    <w:rsid w:val="00B13F34"/>
    <w:rsid w:val="00B15C2A"/>
    <w:rsid w:val="00B22BAE"/>
    <w:rsid w:val="00B23ABF"/>
    <w:rsid w:val="00B26B95"/>
    <w:rsid w:val="00B2748D"/>
    <w:rsid w:val="00B313C4"/>
    <w:rsid w:val="00B34158"/>
    <w:rsid w:val="00B37520"/>
    <w:rsid w:val="00B404E8"/>
    <w:rsid w:val="00B41287"/>
    <w:rsid w:val="00B41876"/>
    <w:rsid w:val="00B422AE"/>
    <w:rsid w:val="00B45359"/>
    <w:rsid w:val="00B5415A"/>
    <w:rsid w:val="00B541FF"/>
    <w:rsid w:val="00B54336"/>
    <w:rsid w:val="00B57817"/>
    <w:rsid w:val="00B6024E"/>
    <w:rsid w:val="00B618DA"/>
    <w:rsid w:val="00B61E62"/>
    <w:rsid w:val="00B629C0"/>
    <w:rsid w:val="00B672D5"/>
    <w:rsid w:val="00B73A46"/>
    <w:rsid w:val="00B7560F"/>
    <w:rsid w:val="00B77202"/>
    <w:rsid w:val="00B805F5"/>
    <w:rsid w:val="00B808D1"/>
    <w:rsid w:val="00B809AF"/>
    <w:rsid w:val="00B80AA5"/>
    <w:rsid w:val="00B81346"/>
    <w:rsid w:val="00B81F5F"/>
    <w:rsid w:val="00B83E3D"/>
    <w:rsid w:val="00B918C2"/>
    <w:rsid w:val="00B93724"/>
    <w:rsid w:val="00B96024"/>
    <w:rsid w:val="00B962F4"/>
    <w:rsid w:val="00BA1002"/>
    <w:rsid w:val="00BA617E"/>
    <w:rsid w:val="00BA6850"/>
    <w:rsid w:val="00BB026F"/>
    <w:rsid w:val="00BB39BF"/>
    <w:rsid w:val="00BB57D5"/>
    <w:rsid w:val="00BB60EC"/>
    <w:rsid w:val="00BB6B22"/>
    <w:rsid w:val="00BB7E19"/>
    <w:rsid w:val="00BC2721"/>
    <w:rsid w:val="00BC7C29"/>
    <w:rsid w:val="00BD562F"/>
    <w:rsid w:val="00BE4578"/>
    <w:rsid w:val="00BE667A"/>
    <w:rsid w:val="00BF08FC"/>
    <w:rsid w:val="00BF1967"/>
    <w:rsid w:val="00BF2F0C"/>
    <w:rsid w:val="00C0002E"/>
    <w:rsid w:val="00C02200"/>
    <w:rsid w:val="00C024EF"/>
    <w:rsid w:val="00C02550"/>
    <w:rsid w:val="00C02D88"/>
    <w:rsid w:val="00C02DA2"/>
    <w:rsid w:val="00C04AB0"/>
    <w:rsid w:val="00C05F42"/>
    <w:rsid w:val="00C06FAC"/>
    <w:rsid w:val="00C071A7"/>
    <w:rsid w:val="00C125AA"/>
    <w:rsid w:val="00C12DEB"/>
    <w:rsid w:val="00C1638D"/>
    <w:rsid w:val="00C17E44"/>
    <w:rsid w:val="00C20B0B"/>
    <w:rsid w:val="00C20E39"/>
    <w:rsid w:val="00C23517"/>
    <w:rsid w:val="00C244CA"/>
    <w:rsid w:val="00C275B0"/>
    <w:rsid w:val="00C31830"/>
    <w:rsid w:val="00C324B8"/>
    <w:rsid w:val="00C41A66"/>
    <w:rsid w:val="00C42AF7"/>
    <w:rsid w:val="00C47A52"/>
    <w:rsid w:val="00C578AB"/>
    <w:rsid w:val="00C62145"/>
    <w:rsid w:val="00C62D4A"/>
    <w:rsid w:val="00C64C1C"/>
    <w:rsid w:val="00C64D7C"/>
    <w:rsid w:val="00C70258"/>
    <w:rsid w:val="00C73E39"/>
    <w:rsid w:val="00C75028"/>
    <w:rsid w:val="00C751B6"/>
    <w:rsid w:val="00C817ED"/>
    <w:rsid w:val="00C8262A"/>
    <w:rsid w:val="00C82651"/>
    <w:rsid w:val="00C831A0"/>
    <w:rsid w:val="00C84F9C"/>
    <w:rsid w:val="00C86095"/>
    <w:rsid w:val="00C86AE9"/>
    <w:rsid w:val="00C90D73"/>
    <w:rsid w:val="00C94479"/>
    <w:rsid w:val="00C94A20"/>
    <w:rsid w:val="00CA08F0"/>
    <w:rsid w:val="00CA1EA5"/>
    <w:rsid w:val="00CA2ABF"/>
    <w:rsid w:val="00CA4B23"/>
    <w:rsid w:val="00CA5E9C"/>
    <w:rsid w:val="00CA6696"/>
    <w:rsid w:val="00CA6AD0"/>
    <w:rsid w:val="00CB100C"/>
    <w:rsid w:val="00CB1122"/>
    <w:rsid w:val="00CB162F"/>
    <w:rsid w:val="00CB230E"/>
    <w:rsid w:val="00CB6DD7"/>
    <w:rsid w:val="00CC08B3"/>
    <w:rsid w:val="00CC388D"/>
    <w:rsid w:val="00CC38E4"/>
    <w:rsid w:val="00CC4F47"/>
    <w:rsid w:val="00CC7D1F"/>
    <w:rsid w:val="00CD1153"/>
    <w:rsid w:val="00CD53F2"/>
    <w:rsid w:val="00CD60F9"/>
    <w:rsid w:val="00CD61FC"/>
    <w:rsid w:val="00CE298F"/>
    <w:rsid w:val="00CE36BC"/>
    <w:rsid w:val="00CE4105"/>
    <w:rsid w:val="00CE4F29"/>
    <w:rsid w:val="00CE546A"/>
    <w:rsid w:val="00CE7760"/>
    <w:rsid w:val="00CF1E1F"/>
    <w:rsid w:val="00CF2607"/>
    <w:rsid w:val="00CF5BEB"/>
    <w:rsid w:val="00CF6D75"/>
    <w:rsid w:val="00CF7025"/>
    <w:rsid w:val="00D01A12"/>
    <w:rsid w:val="00D03BFE"/>
    <w:rsid w:val="00D064A0"/>
    <w:rsid w:val="00D1045B"/>
    <w:rsid w:val="00D10536"/>
    <w:rsid w:val="00D10FE2"/>
    <w:rsid w:val="00D11AF8"/>
    <w:rsid w:val="00D12C99"/>
    <w:rsid w:val="00D13737"/>
    <w:rsid w:val="00D16918"/>
    <w:rsid w:val="00D17B7D"/>
    <w:rsid w:val="00D17DB1"/>
    <w:rsid w:val="00D21E83"/>
    <w:rsid w:val="00D236C0"/>
    <w:rsid w:val="00D24E04"/>
    <w:rsid w:val="00D25414"/>
    <w:rsid w:val="00D26D5D"/>
    <w:rsid w:val="00D30725"/>
    <w:rsid w:val="00D313ED"/>
    <w:rsid w:val="00D34A95"/>
    <w:rsid w:val="00D35158"/>
    <w:rsid w:val="00D36FF7"/>
    <w:rsid w:val="00D375A1"/>
    <w:rsid w:val="00D40092"/>
    <w:rsid w:val="00D40DCF"/>
    <w:rsid w:val="00D410DC"/>
    <w:rsid w:val="00D4214A"/>
    <w:rsid w:val="00D4253D"/>
    <w:rsid w:val="00D4285C"/>
    <w:rsid w:val="00D43003"/>
    <w:rsid w:val="00D43523"/>
    <w:rsid w:val="00D435FB"/>
    <w:rsid w:val="00D43B9A"/>
    <w:rsid w:val="00D45409"/>
    <w:rsid w:val="00D502B1"/>
    <w:rsid w:val="00D531FD"/>
    <w:rsid w:val="00D60291"/>
    <w:rsid w:val="00D62F72"/>
    <w:rsid w:val="00D63885"/>
    <w:rsid w:val="00D65DFA"/>
    <w:rsid w:val="00D7077E"/>
    <w:rsid w:val="00D74026"/>
    <w:rsid w:val="00D742BD"/>
    <w:rsid w:val="00D766EA"/>
    <w:rsid w:val="00D76BCF"/>
    <w:rsid w:val="00D8167B"/>
    <w:rsid w:val="00D8333A"/>
    <w:rsid w:val="00D83971"/>
    <w:rsid w:val="00D84656"/>
    <w:rsid w:val="00D8473C"/>
    <w:rsid w:val="00D84DC7"/>
    <w:rsid w:val="00D8544D"/>
    <w:rsid w:val="00D85DF3"/>
    <w:rsid w:val="00D86BC8"/>
    <w:rsid w:val="00D86BE4"/>
    <w:rsid w:val="00D962FA"/>
    <w:rsid w:val="00DA0186"/>
    <w:rsid w:val="00DA01A7"/>
    <w:rsid w:val="00DA2C8E"/>
    <w:rsid w:val="00DA3924"/>
    <w:rsid w:val="00DA3ABC"/>
    <w:rsid w:val="00DA6ACA"/>
    <w:rsid w:val="00DB0548"/>
    <w:rsid w:val="00DB181A"/>
    <w:rsid w:val="00DB3E31"/>
    <w:rsid w:val="00DB515E"/>
    <w:rsid w:val="00DB5B6C"/>
    <w:rsid w:val="00DB7DDD"/>
    <w:rsid w:val="00DC0117"/>
    <w:rsid w:val="00DC0B0F"/>
    <w:rsid w:val="00DC10BE"/>
    <w:rsid w:val="00DC57EB"/>
    <w:rsid w:val="00DC6A51"/>
    <w:rsid w:val="00DC7CFE"/>
    <w:rsid w:val="00DD01BF"/>
    <w:rsid w:val="00DD30C2"/>
    <w:rsid w:val="00DD492E"/>
    <w:rsid w:val="00DD4AC2"/>
    <w:rsid w:val="00DD4D06"/>
    <w:rsid w:val="00DD5221"/>
    <w:rsid w:val="00DD5F06"/>
    <w:rsid w:val="00DD7151"/>
    <w:rsid w:val="00DE0C8E"/>
    <w:rsid w:val="00DE1000"/>
    <w:rsid w:val="00DE5ABB"/>
    <w:rsid w:val="00DE63CC"/>
    <w:rsid w:val="00DE77D1"/>
    <w:rsid w:val="00DF052E"/>
    <w:rsid w:val="00DF1525"/>
    <w:rsid w:val="00DF54CB"/>
    <w:rsid w:val="00DF5B83"/>
    <w:rsid w:val="00DF5E96"/>
    <w:rsid w:val="00DF7848"/>
    <w:rsid w:val="00DF7FE0"/>
    <w:rsid w:val="00E018C5"/>
    <w:rsid w:val="00E10EE3"/>
    <w:rsid w:val="00E120D3"/>
    <w:rsid w:val="00E12456"/>
    <w:rsid w:val="00E12FE9"/>
    <w:rsid w:val="00E14DBD"/>
    <w:rsid w:val="00E20336"/>
    <w:rsid w:val="00E2386C"/>
    <w:rsid w:val="00E24EBC"/>
    <w:rsid w:val="00E25F5C"/>
    <w:rsid w:val="00E433F7"/>
    <w:rsid w:val="00E43EAF"/>
    <w:rsid w:val="00E440CA"/>
    <w:rsid w:val="00E44E32"/>
    <w:rsid w:val="00E45147"/>
    <w:rsid w:val="00E4541B"/>
    <w:rsid w:val="00E50EEE"/>
    <w:rsid w:val="00E519BF"/>
    <w:rsid w:val="00E51C37"/>
    <w:rsid w:val="00E53728"/>
    <w:rsid w:val="00E56371"/>
    <w:rsid w:val="00E56E33"/>
    <w:rsid w:val="00E62C0C"/>
    <w:rsid w:val="00E65020"/>
    <w:rsid w:val="00E6569D"/>
    <w:rsid w:val="00E65D0E"/>
    <w:rsid w:val="00E67ECB"/>
    <w:rsid w:val="00E702EB"/>
    <w:rsid w:val="00E7116B"/>
    <w:rsid w:val="00E71D56"/>
    <w:rsid w:val="00E741C8"/>
    <w:rsid w:val="00E750C9"/>
    <w:rsid w:val="00E76357"/>
    <w:rsid w:val="00E77E97"/>
    <w:rsid w:val="00E80F59"/>
    <w:rsid w:val="00E841EA"/>
    <w:rsid w:val="00E844AE"/>
    <w:rsid w:val="00E911F6"/>
    <w:rsid w:val="00E9360A"/>
    <w:rsid w:val="00E957AE"/>
    <w:rsid w:val="00E95E41"/>
    <w:rsid w:val="00E96FA4"/>
    <w:rsid w:val="00E979CD"/>
    <w:rsid w:val="00EA1072"/>
    <w:rsid w:val="00EA1C80"/>
    <w:rsid w:val="00EA69EB"/>
    <w:rsid w:val="00EA7310"/>
    <w:rsid w:val="00EA7EC2"/>
    <w:rsid w:val="00EB2AF7"/>
    <w:rsid w:val="00EB41F6"/>
    <w:rsid w:val="00EB4E46"/>
    <w:rsid w:val="00EB67E9"/>
    <w:rsid w:val="00EB692E"/>
    <w:rsid w:val="00EC1766"/>
    <w:rsid w:val="00EC176F"/>
    <w:rsid w:val="00EC2F7F"/>
    <w:rsid w:val="00EC3311"/>
    <w:rsid w:val="00EC5DDC"/>
    <w:rsid w:val="00ED3CA8"/>
    <w:rsid w:val="00ED5441"/>
    <w:rsid w:val="00EE077F"/>
    <w:rsid w:val="00EE59C0"/>
    <w:rsid w:val="00EE6B2C"/>
    <w:rsid w:val="00EF07F6"/>
    <w:rsid w:val="00EF22F3"/>
    <w:rsid w:val="00EF6F0D"/>
    <w:rsid w:val="00F0376D"/>
    <w:rsid w:val="00F0470B"/>
    <w:rsid w:val="00F11023"/>
    <w:rsid w:val="00F12132"/>
    <w:rsid w:val="00F12E16"/>
    <w:rsid w:val="00F16185"/>
    <w:rsid w:val="00F16B76"/>
    <w:rsid w:val="00F179F7"/>
    <w:rsid w:val="00F20B53"/>
    <w:rsid w:val="00F21127"/>
    <w:rsid w:val="00F21DC6"/>
    <w:rsid w:val="00F22AD3"/>
    <w:rsid w:val="00F22C5C"/>
    <w:rsid w:val="00F23287"/>
    <w:rsid w:val="00F23608"/>
    <w:rsid w:val="00F26814"/>
    <w:rsid w:val="00F30439"/>
    <w:rsid w:val="00F31F6C"/>
    <w:rsid w:val="00F32BBF"/>
    <w:rsid w:val="00F332EB"/>
    <w:rsid w:val="00F33771"/>
    <w:rsid w:val="00F33F3A"/>
    <w:rsid w:val="00F348DE"/>
    <w:rsid w:val="00F358AE"/>
    <w:rsid w:val="00F36A1C"/>
    <w:rsid w:val="00F41069"/>
    <w:rsid w:val="00F424DB"/>
    <w:rsid w:val="00F43D07"/>
    <w:rsid w:val="00F46D18"/>
    <w:rsid w:val="00F501B7"/>
    <w:rsid w:val="00F51FC3"/>
    <w:rsid w:val="00F6303B"/>
    <w:rsid w:val="00F7032F"/>
    <w:rsid w:val="00F72021"/>
    <w:rsid w:val="00F756F7"/>
    <w:rsid w:val="00F75FEC"/>
    <w:rsid w:val="00F80DA7"/>
    <w:rsid w:val="00F82A53"/>
    <w:rsid w:val="00F84394"/>
    <w:rsid w:val="00F84BB6"/>
    <w:rsid w:val="00F8588C"/>
    <w:rsid w:val="00F86161"/>
    <w:rsid w:val="00F875FB"/>
    <w:rsid w:val="00F903C0"/>
    <w:rsid w:val="00F9255A"/>
    <w:rsid w:val="00F97C71"/>
    <w:rsid w:val="00F97CCF"/>
    <w:rsid w:val="00FA1C20"/>
    <w:rsid w:val="00FA1C68"/>
    <w:rsid w:val="00FA5333"/>
    <w:rsid w:val="00FB09D7"/>
    <w:rsid w:val="00FB3492"/>
    <w:rsid w:val="00FB3693"/>
    <w:rsid w:val="00FB3C6A"/>
    <w:rsid w:val="00FB77F9"/>
    <w:rsid w:val="00FC115B"/>
    <w:rsid w:val="00FD0777"/>
    <w:rsid w:val="00FD0ACF"/>
    <w:rsid w:val="00FD3B54"/>
    <w:rsid w:val="00FD3B9A"/>
    <w:rsid w:val="00FD5B64"/>
    <w:rsid w:val="00FE0CD3"/>
    <w:rsid w:val="00FE1B92"/>
    <w:rsid w:val="00FE29F8"/>
    <w:rsid w:val="00FE4C67"/>
    <w:rsid w:val="00FE6779"/>
    <w:rsid w:val="00FE7944"/>
    <w:rsid w:val="00FE7BCE"/>
    <w:rsid w:val="00FF3A84"/>
    <w:rsid w:val="00FF4CED"/>
    <w:rsid w:val="00FF520B"/>
    <w:rsid w:val="00FF6D10"/>
    <w:rsid w:val="00FF73F5"/>
    <w:rsid w:val="00FF7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27351"/>
  <w15:docId w15:val="{2C71C41C-FC61-40F4-9F90-B90AA4111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56C83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berarbeitung">
    <w:name w:val="Revision"/>
    <w:hidden/>
    <w:uiPriority w:val="99"/>
    <w:semiHidden/>
    <w:rsid w:val="00FD0AC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12D32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957A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E957A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957AE"/>
    <w:rPr>
      <w:rFonts w:ascii="Calibri" w:hAnsi="Calibri"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957A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957AE"/>
    <w:rPr>
      <w:rFonts w:ascii="Calibri" w:hAnsi="Calibri" w:cs="Arial Unicode MS"/>
      <w:b/>
      <w:bCs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StandardWeb">
    <w:name w:val="Normal (Web)"/>
    <w:basedOn w:val="Standard"/>
    <w:uiPriority w:val="99"/>
    <w:semiHidden/>
    <w:unhideWhenUsed/>
    <w:rsid w:val="008C3E0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table" w:styleId="Tabellenraster">
    <w:name w:val="Table Grid"/>
    <w:basedOn w:val="NormaleTabelle"/>
    <w:uiPriority w:val="39"/>
    <w:rsid w:val="009A18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9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9855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876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731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3122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5896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7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4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4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857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163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8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8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734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306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261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5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8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666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335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927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3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4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231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3167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5125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1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62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6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4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5793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373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585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96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74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19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06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332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5656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203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5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8436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5174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60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52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87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v-test.org/de/antivirus/unternehmen-windows-client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Larissa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8C73F-2059-41E4-B1B4-9CCBF9A5C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1203</Words>
  <Characters>7584</Characters>
  <Application>Microsoft Office Word</Application>
  <DocSecurity>0</DocSecurity>
  <Lines>63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Petra</dc:creator>
  <cp:lastModifiedBy>Markus Selinger</cp:lastModifiedBy>
  <cp:revision>29</cp:revision>
  <dcterms:created xsi:type="dcterms:W3CDTF">2025-06-28T12:31:00Z</dcterms:created>
  <dcterms:modified xsi:type="dcterms:W3CDTF">2025-07-07T16:50:00Z</dcterms:modified>
</cp:coreProperties>
</file>